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2867F" w14:textId="587D299B" w:rsidR="0050572D" w:rsidRPr="00A9432A" w:rsidRDefault="00BF1063" w:rsidP="00A9432A">
      <w:pPr>
        <w:pStyle w:val="Corpodetexto"/>
        <w:spacing w:line="360" w:lineRule="auto"/>
        <w:jc w:val="both"/>
        <w:rPr>
          <w:rFonts w:ascii="Arial" w:hAnsi="Arial" w:cs="Arial"/>
          <w:b/>
          <w:iCs/>
          <w:sz w:val="24"/>
          <w:szCs w:val="24"/>
        </w:rPr>
      </w:pPr>
      <w:r w:rsidRPr="00A9432A">
        <w:rPr>
          <w:rFonts w:ascii="Arial" w:hAnsi="Arial" w:cs="Arial"/>
          <w:b/>
          <w:iCs/>
          <w:sz w:val="24"/>
          <w:szCs w:val="24"/>
        </w:rPr>
        <w:t>Segurança Urbana e Governação Multinível da Segurança: Estado, Autarquias e Instrumentos Locais</w:t>
      </w:r>
    </w:p>
    <w:p w14:paraId="6CBE7B98" w14:textId="3326605B" w:rsidR="0050572D" w:rsidRPr="00A9432A" w:rsidRDefault="00A9432A" w:rsidP="00A9432A">
      <w:pPr>
        <w:pStyle w:val="Corpodetexto"/>
        <w:spacing w:line="360" w:lineRule="auto"/>
        <w:jc w:val="both"/>
        <w:rPr>
          <w:rFonts w:ascii="Arial" w:hAnsi="Arial" w:cs="Arial"/>
          <w:b/>
          <w:iCs/>
          <w:sz w:val="24"/>
          <w:szCs w:val="24"/>
          <w:lang w:val="en-US"/>
        </w:rPr>
      </w:pPr>
      <w:r w:rsidRPr="00A9432A">
        <w:rPr>
          <w:rFonts w:ascii="Arial" w:hAnsi="Arial" w:cs="Arial"/>
          <w:b/>
          <w:iCs/>
          <w:sz w:val="24"/>
          <w:szCs w:val="24"/>
          <w:lang w:val="en-US"/>
        </w:rPr>
        <w:t>Urban Security and Multilevel Security Governance: The State, Local Governments, and Local Instruments</w:t>
      </w:r>
    </w:p>
    <w:p w14:paraId="62985EAB" w14:textId="41A48C6B" w:rsidR="0050572D" w:rsidRPr="00A9432A" w:rsidRDefault="00A9432A" w:rsidP="00BB1A90">
      <w:pPr>
        <w:pStyle w:val="Corpodetexto"/>
        <w:spacing w:before="320"/>
        <w:ind w:left="720" w:hanging="720"/>
        <w:rPr>
          <w:rFonts w:ascii="Arial" w:hAnsi="Arial" w:cs="Arial"/>
          <w:bCs/>
          <w:iCs/>
          <w:sz w:val="24"/>
          <w:szCs w:val="24"/>
        </w:rPr>
      </w:pPr>
      <w:r w:rsidRPr="00A9432A">
        <w:rPr>
          <w:rFonts w:ascii="Arial" w:hAnsi="Arial" w:cs="Arial"/>
          <w:bCs/>
          <w:iCs/>
          <w:sz w:val="24"/>
          <w:szCs w:val="24"/>
        </w:rPr>
        <w:t>Manuel Rodrigues</w:t>
      </w:r>
    </w:p>
    <w:p w14:paraId="7424A164" w14:textId="77777777" w:rsidR="000E7599" w:rsidRDefault="000E7599" w:rsidP="00A9432A">
      <w:pPr>
        <w:pStyle w:val="Corpodetexto"/>
        <w:ind w:left="720" w:hanging="720"/>
        <w:rPr>
          <w:rFonts w:ascii="Arial" w:hAnsi="Arial" w:cs="Arial"/>
          <w:bCs/>
          <w:iCs/>
          <w:sz w:val="24"/>
          <w:szCs w:val="24"/>
        </w:rPr>
      </w:pPr>
      <w:r w:rsidRPr="000E7599">
        <w:rPr>
          <w:rFonts w:ascii="Arial" w:hAnsi="Arial" w:cs="Arial"/>
          <w:bCs/>
          <w:iCs/>
          <w:sz w:val="24"/>
          <w:szCs w:val="24"/>
        </w:rPr>
        <w:t xml:space="preserve">lrodrigues.eic@gmail.com </w:t>
      </w:r>
    </w:p>
    <w:p w14:paraId="1A0F240E" w14:textId="6F0A252C" w:rsidR="00A9432A" w:rsidRPr="00A9432A" w:rsidRDefault="000E7599" w:rsidP="00A9432A">
      <w:pPr>
        <w:pStyle w:val="Corpodetexto"/>
        <w:ind w:left="720" w:hanging="720"/>
        <w:rPr>
          <w:rFonts w:ascii="Arial" w:hAnsi="Arial" w:cs="Arial"/>
          <w:bCs/>
          <w:iCs/>
          <w:sz w:val="24"/>
          <w:szCs w:val="24"/>
        </w:rPr>
      </w:pPr>
      <w:r>
        <w:rPr>
          <w:rFonts w:ascii="Arial" w:hAnsi="Arial" w:cs="Arial"/>
          <w:bCs/>
          <w:iCs/>
          <w:sz w:val="24"/>
          <w:szCs w:val="24"/>
        </w:rPr>
        <w:t>Chefe coordenador na PSP</w:t>
      </w:r>
    </w:p>
    <w:p w14:paraId="065B40DE" w14:textId="1A105249" w:rsidR="00A9432A" w:rsidRPr="00A9432A" w:rsidRDefault="00A9432A" w:rsidP="00A9432A">
      <w:pPr>
        <w:pStyle w:val="Corpodetexto"/>
        <w:ind w:left="720" w:hanging="720"/>
        <w:rPr>
          <w:rFonts w:ascii="Arial" w:hAnsi="Arial" w:cs="Arial"/>
          <w:bCs/>
          <w:iCs/>
          <w:sz w:val="24"/>
          <w:szCs w:val="24"/>
        </w:rPr>
      </w:pPr>
      <w:proofErr w:type="spellStart"/>
      <w:r w:rsidRPr="00A9432A">
        <w:rPr>
          <w:rFonts w:ascii="Arial" w:hAnsi="Arial" w:cs="Arial"/>
          <w:bCs/>
          <w:iCs/>
          <w:sz w:val="24"/>
          <w:szCs w:val="24"/>
        </w:rPr>
        <w:t>Orcid</w:t>
      </w:r>
      <w:proofErr w:type="spellEnd"/>
      <w:r>
        <w:rPr>
          <w:rFonts w:ascii="Arial" w:hAnsi="Arial" w:cs="Arial"/>
          <w:bCs/>
          <w:iCs/>
          <w:sz w:val="24"/>
          <w:szCs w:val="24"/>
        </w:rPr>
        <w:t>:</w:t>
      </w:r>
      <w:r w:rsidR="000E7599" w:rsidRPr="000E7599">
        <w:t xml:space="preserve"> </w:t>
      </w:r>
      <w:r w:rsidR="000E7599" w:rsidRPr="000E7599">
        <w:rPr>
          <w:rFonts w:ascii="Arial" w:hAnsi="Arial" w:cs="Arial"/>
          <w:bCs/>
          <w:iCs/>
          <w:sz w:val="24"/>
          <w:szCs w:val="24"/>
        </w:rPr>
        <w:t>0009-0007-3747-2748</w:t>
      </w:r>
    </w:p>
    <w:p w14:paraId="6F6B5D2D" w14:textId="77777777" w:rsidR="008F1777" w:rsidRDefault="008F1777" w:rsidP="00BB1A90">
      <w:pPr>
        <w:pStyle w:val="Corpodetexto"/>
        <w:spacing w:before="320"/>
        <w:ind w:left="720" w:hanging="720"/>
        <w:rPr>
          <w:rFonts w:ascii="Times New Roman" w:hAnsi="Times New Roman" w:cs="Times New Roman"/>
          <w:b/>
          <w:i/>
          <w:sz w:val="24"/>
          <w:szCs w:val="24"/>
        </w:rPr>
      </w:pPr>
    </w:p>
    <w:p w14:paraId="38EFF875" w14:textId="355F2974" w:rsidR="000A1C0D" w:rsidRDefault="000A1C0D" w:rsidP="00EE587B">
      <w:pPr>
        <w:widowControl/>
        <w:autoSpaceDE/>
        <w:autoSpaceDN/>
        <w:spacing w:before="120" w:line="360" w:lineRule="auto"/>
        <w:rPr>
          <w:rFonts w:ascii="Arial" w:eastAsia="Times New Roman" w:hAnsi="Arial" w:cs="Arial"/>
          <w:b/>
          <w:bCs/>
          <w:color w:val="000000"/>
          <w:sz w:val="24"/>
          <w:szCs w:val="24"/>
          <w:lang w:eastAsia="pt-PT"/>
        </w:rPr>
      </w:pPr>
      <w:r w:rsidRPr="000A1C0D">
        <w:rPr>
          <w:rFonts w:ascii="Arial" w:eastAsia="Times New Roman" w:hAnsi="Arial" w:cs="Arial"/>
          <w:b/>
          <w:bCs/>
          <w:color w:val="000000"/>
          <w:sz w:val="24"/>
          <w:szCs w:val="24"/>
          <w:lang w:eastAsia="pt-PT"/>
        </w:rPr>
        <w:t>Resumo</w:t>
      </w:r>
      <w:r w:rsidR="00EE587B">
        <w:rPr>
          <w:rFonts w:ascii="Arial" w:eastAsia="Times New Roman" w:hAnsi="Arial" w:cs="Arial"/>
          <w:b/>
          <w:bCs/>
          <w:color w:val="000000"/>
          <w:sz w:val="24"/>
          <w:szCs w:val="24"/>
          <w:lang w:eastAsia="pt-PT"/>
        </w:rPr>
        <w:t>:</w:t>
      </w:r>
    </w:p>
    <w:p w14:paraId="5C51493D" w14:textId="2FE09960" w:rsidR="000A1C0D" w:rsidRDefault="000A1C0D" w:rsidP="00E4740C">
      <w:pPr>
        <w:widowControl/>
        <w:autoSpaceDE/>
        <w:autoSpaceDN/>
        <w:spacing w:before="120" w:line="360" w:lineRule="auto"/>
        <w:jc w:val="both"/>
        <w:rPr>
          <w:rFonts w:ascii="Arial" w:eastAsia="Times New Roman" w:hAnsi="Arial" w:cs="Arial"/>
          <w:color w:val="000000"/>
          <w:sz w:val="24"/>
          <w:szCs w:val="24"/>
          <w:lang w:eastAsia="pt-PT"/>
        </w:rPr>
      </w:pPr>
      <w:r w:rsidRPr="000A1C0D">
        <w:rPr>
          <w:rFonts w:ascii="Arial" w:eastAsia="Times New Roman" w:hAnsi="Arial" w:cs="Arial"/>
          <w:color w:val="000000"/>
          <w:sz w:val="24"/>
          <w:szCs w:val="24"/>
          <w:lang w:eastAsia="pt-PT"/>
        </w:rPr>
        <w:t>O presente trabalho analisa a segurança urbana enquanto dimensão territorial da segurança interna no ordenamento jurídico português. A partir de uma abordagem jurídico-política, examina-se a evolução das políticas de segurança para modelos preventivos e integrados. O estudo incide sobre a Estratégia Integrada de Segurança Urbana, os Conselhos Municipais de Segurança e os Contratos Locais de Segurança como instrumentos de governação multinível e de descentralização funcional. Conclui-se que a segurança urbana não configura uma descentralização da função de segurança, mantendo-se integrada no Sistema de Segurança Interna, sob coordenação do Estado e nos limites constitucionais.</w:t>
      </w:r>
    </w:p>
    <w:p w14:paraId="3F6B8227" w14:textId="77777777" w:rsidR="002B6EFB" w:rsidRDefault="002B6EFB" w:rsidP="00E4740C">
      <w:pPr>
        <w:widowControl/>
        <w:autoSpaceDE/>
        <w:autoSpaceDN/>
        <w:spacing w:before="120" w:line="360" w:lineRule="auto"/>
        <w:jc w:val="both"/>
        <w:rPr>
          <w:rFonts w:ascii="Arial" w:eastAsia="Times New Roman" w:hAnsi="Arial" w:cs="Arial"/>
          <w:color w:val="000000"/>
          <w:sz w:val="24"/>
          <w:szCs w:val="24"/>
          <w:lang w:eastAsia="pt-PT"/>
        </w:rPr>
      </w:pPr>
    </w:p>
    <w:p w14:paraId="2B0B0D75" w14:textId="368EABE9" w:rsidR="000A1C0D" w:rsidRDefault="000A1C0D" w:rsidP="00BF1063">
      <w:pPr>
        <w:widowControl/>
        <w:autoSpaceDE/>
        <w:autoSpaceDN/>
        <w:spacing w:line="360" w:lineRule="auto"/>
        <w:jc w:val="both"/>
        <w:rPr>
          <w:rFonts w:ascii="Arial" w:eastAsia="Times New Roman" w:hAnsi="Arial" w:cs="Arial"/>
          <w:color w:val="000000"/>
          <w:sz w:val="24"/>
          <w:szCs w:val="24"/>
          <w:lang w:eastAsia="pt-PT"/>
        </w:rPr>
      </w:pPr>
      <w:r w:rsidRPr="000A1C0D">
        <w:rPr>
          <w:rFonts w:ascii="Arial" w:eastAsia="Times New Roman" w:hAnsi="Arial" w:cs="Arial"/>
          <w:b/>
          <w:bCs/>
          <w:color w:val="000000"/>
          <w:sz w:val="24"/>
          <w:szCs w:val="24"/>
          <w:lang w:eastAsia="pt-PT"/>
        </w:rPr>
        <w:t>Palavras-chave</w:t>
      </w:r>
      <w:r w:rsidRPr="000A1C0D">
        <w:rPr>
          <w:rFonts w:ascii="Arial" w:eastAsia="Times New Roman" w:hAnsi="Arial" w:cs="Arial"/>
          <w:color w:val="000000"/>
          <w:sz w:val="24"/>
          <w:szCs w:val="24"/>
          <w:lang w:eastAsia="pt-PT"/>
        </w:rPr>
        <w:t>:</w:t>
      </w:r>
      <w:r>
        <w:rPr>
          <w:rFonts w:ascii="Arial" w:eastAsia="Times New Roman" w:hAnsi="Arial" w:cs="Arial"/>
          <w:color w:val="000000"/>
          <w:sz w:val="24"/>
          <w:szCs w:val="24"/>
          <w:lang w:eastAsia="pt-PT"/>
        </w:rPr>
        <w:t xml:space="preserve"> </w:t>
      </w:r>
      <w:r w:rsidR="007B542C" w:rsidRPr="002B6EFB">
        <w:rPr>
          <w:rFonts w:ascii="Arial" w:eastAsia="Times New Roman" w:hAnsi="Arial" w:cs="Arial"/>
          <w:color w:val="000000"/>
          <w:sz w:val="24"/>
          <w:szCs w:val="24"/>
          <w:lang w:eastAsia="pt-PT"/>
        </w:rPr>
        <w:t>Descentralização funcional</w:t>
      </w:r>
      <w:r w:rsidR="007B542C">
        <w:rPr>
          <w:rFonts w:ascii="Arial" w:eastAsia="Times New Roman" w:hAnsi="Arial" w:cs="Arial"/>
          <w:color w:val="000000"/>
          <w:sz w:val="24"/>
          <w:szCs w:val="24"/>
          <w:lang w:eastAsia="pt-PT"/>
        </w:rPr>
        <w:t xml:space="preserve">; </w:t>
      </w:r>
      <w:r w:rsidR="007B542C" w:rsidRPr="002B6EFB">
        <w:rPr>
          <w:rFonts w:ascii="Arial" w:eastAsia="Times New Roman" w:hAnsi="Arial" w:cs="Arial"/>
          <w:color w:val="000000"/>
          <w:sz w:val="24"/>
          <w:szCs w:val="24"/>
          <w:lang w:eastAsia="pt-PT"/>
        </w:rPr>
        <w:t>Estratégia Integrada de Segurança Urbana (EISU)</w:t>
      </w:r>
      <w:r w:rsidR="007B542C">
        <w:rPr>
          <w:rFonts w:ascii="Arial" w:eastAsia="Times New Roman" w:hAnsi="Arial" w:cs="Arial"/>
          <w:color w:val="000000"/>
          <w:sz w:val="24"/>
          <w:szCs w:val="24"/>
          <w:lang w:eastAsia="pt-PT"/>
        </w:rPr>
        <w:t>; Governação multinível;</w:t>
      </w:r>
      <w:r w:rsidR="007B542C" w:rsidRPr="007B542C">
        <w:rPr>
          <w:rFonts w:ascii="Arial" w:eastAsia="Times New Roman" w:hAnsi="Arial" w:cs="Arial"/>
          <w:color w:val="000000"/>
          <w:sz w:val="24"/>
          <w:szCs w:val="24"/>
          <w:lang w:eastAsia="pt-PT"/>
        </w:rPr>
        <w:t xml:space="preserve"> </w:t>
      </w:r>
      <w:r w:rsidR="007B542C">
        <w:rPr>
          <w:rFonts w:ascii="Arial" w:eastAsia="Times New Roman" w:hAnsi="Arial" w:cs="Arial"/>
          <w:color w:val="000000"/>
          <w:sz w:val="24"/>
          <w:szCs w:val="24"/>
          <w:lang w:eastAsia="pt-PT"/>
        </w:rPr>
        <w:t xml:space="preserve">Segurança interna; </w:t>
      </w:r>
      <w:r>
        <w:rPr>
          <w:rFonts w:ascii="Arial" w:eastAsia="Times New Roman" w:hAnsi="Arial" w:cs="Arial"/>
          <w:color w:val="000000"/>
          <w:sz w:val="24"/>
          <w:szCs w:val="24"/>
          <w:lang w:eastAsia="pt-PT"/>
        </w:rPr>
        <w:t>Segurança urbana</w:t>
      </w:r>
      <w:r w:rsidR="007B542C">
        <w:rPr>
          <w:rFonts w:ascii="Arial" w:eastAsia="Times New Roman" w:hAnsi="Arial" w:cs="Arial"/>
          <w:color w:val="000000"/>
          <w:sz w:val="24"/>
          <w:szCs w:val="24"/>
          <w:lang w:eastAsia="pt-PT"/>
        </w:rPr>
        <w:t>.</w:t>
      </w:r>
    </w:p>
    <w:p w14:paraId="1EBF331A" w14:textId="77777777" w:rsidR="000A1C0D" w:rsidRDefault="000A1C0D" w:rsidP="00BF1063">
      <w:pPr>
        <w:widowControl/>
        <w:autoSpaceDE/>
        <w:autoSpaceDN/>
        <w:spacing w:line="360" w:lineRule="auto"/>
        <w:jc w:val="both"/>
        <w:rPr>
          <w:rFonts w:ascii="Arial" w:eastAsia="Times New Roman" w:hAnsi="Arial" w:cs="Arial"/>
          <w:color w:val="000000"/>
          <w:sz w:val="24"/>
          <w:szCs w:val="24"/>
          <w:lang w:eastAsia="pt-PT"/>
        </w:rPr>
      </w:pPr>
    </w:p>
    <w:p w14:paraId="4B7EC857" w14:textId="1EC60688" w:rsidR="000A1C0D" w:rsidRPr="00B471D3" w:rsidRDefault="000A1C0D" w:rsidP="00EE587B">
      <w:pPr>
        <w:widowControl/>
        <w:autoSpaceDE/>
        <w:autoSpaceDN/>
        <w:spacing w:before="120" w:line="360" w:lineRule="auto"/>
        <w:rPr>
          <w:rFonts w:ascii="Arial" w:eastAsia="Times New Roman" w:hAnsi="Arial" w:cs="Arial"/>
          <w:b/>
          <w:bCs/>
          <w:color w:val="000000"/>
          <w:sz w:val="24"/>
          <w:szCs w:val="24"/>
          <w:lang w:val="en-US" w:eastAsia="pt-PT"/>
        </w:rPr>
      </w:pPr>
      <w:r w:rsidRPr="00B471D3">
        <w:rPr>
          <w:rFonts w:ascii="Arial" w:eastAsia="Times New Roman" w:hAnsi="Arial" w:cs="Arial"/>
          <w:b/>
          <w:bCs/>
          <w:color w:val="000000"/>
          <w:sz w:val="24"/>
          <w:szCs w:val="24"/>
          <w:lang w:val="en-US" w:eastAsia="pt-PT"/>
        </w:rPr>
        <w:t>Abstract</w:t>
      </w:r>
      <w:r w:rsidR="00EE587B" w:rsidRPr="00B471D3">
        <w:rPr>
          <w:rFonts w:ascii="Arial" w:eastAsia="Times New Roman" w:hAnsi="Arial" w:cs="Arial"/>
          <w:b/>
          <w:bCs/>
          <w:color w:val="000000"/>
          <w:sz w:val="24"/>
          <w:szCs w:val="24"/>
          <w:lang w:val="en-US" w:eastAsia="pt-PT"/>
        </w:rPr>
        <w:t>:</w:t>
      </w:r>
    </w:p>
    <w:p w14:paraId="59D89FC0" w14:textId="718EB80F" w:rsidR="000A1C0D" w:rsidRDefault="000A1C0D" w:rsidP="002B6EFB">
      <w:pPr>
        <w:widowControl/>
        <w:autoSpaceDE/>
        <w:autoSpaceDN/>
        <w:spacing w:before="120" w:line="360" w:lineRule="auto"/>
        <w:jc w:val="both"/>
        <w:rPr>
          <w:rFonts w:ascii="Arial" w:eastAsia="Times New Roman" w:hAnsi="Arial" w:cs="Arial"/>
          <w:color w:val="000000"/>
          <w:sz w:val="24"/>
          <w:szCs w:val="24"/>
          <w:lang w:val="en-US" w:eastAsia="pt-PT"/>
        </w:rPr>
      </w:pPr>
      <w:r w:rsidRPr="000A1C0D">
        <w:rPr>
          <w:rFonts w:ascii="Arial" w:eastAsia="Times New Roman" w:hAnsi="Arial" w:cs="Arial"/>
          <w:color w:val="000000"/>
          <w:sz w:val="24"/>
          <w:szCs w:val="24"/>
          <w:lang w:val="en-US" w:eastAsia="pt-PT"/>
        </w:rPr>
        <w:t xml:space="preserve">This study analyses urban security as a territorial dimension of internal security in the Portuguese legal system. Adopting a legal-political approach, it examines the transformation of contemporary security policies towards preventive and integrated models. The research focuses on the Integrated Urban Security Strategy, Municipal Security Councils and Local Security Contracts as instruments of multilevel governance and functional </w:t>
      </w:r>
      <w:r w:rsidR="002C3B8D" w:rsidRPr="000A1C0D">
        <w:rPr>
          <w:rFonts w:ascii="Arial" w:eastAsia="Times New Roman" w:hAnsi="Arial" w:cs="Arial"/>
          <w:color w:val="000000"/>
          <w:sz w:val="24"/>
          <w:szCs w:val="24"/>
          <w:lang w:val="en-US" w:eastAsia="pt-PT"/>
        </w:rPr>
        <w:t>decentralization</w:t>
      </w:r>
      <w:r w:rsidRPr="000A1C0D">
        <w:rPr>
          <w:rFonts w:ascii="Arial" w:eastAsia="Times New Roman" w:hAnsi="Arial" w:cs="Arial"/>
          <w:color w:val="000000"/>
          <w:sz w:val="24"/>
          <w:szCs w:val="24"/>
          <w:lang w:val="en-US" w:eastAsia="pt-PT"/>
        </w:rPr>
        <w:t xml:space="preserve">. It concludes </w:t>
      </w:r>
      <w:r w:rsidRPr="000A1C0D">
        <w:rPr>
          <w:rFonts w:ascii="Arial" w:eastAsia="Times New Roman" w:hAnsi="Arial" w:cs="Arial"/>
          <w:color w:val="000000"/>
          <w:sz w:val="24"/>
          <w:szCs w:val="24"/>
          <w:lang w:val="en-US" w:eastAsia="pt-PT"/>
        </w:rPr>
        <w:lastRenderedPageBreak/>
        <w:t xml:space="preserve">that urban security does not constitute a </w:t>
      </w:r>
      <w:r w:rsidR="002C3B8D" w:rsidRPr="000A1C0D">
        <w:rPr>
          <w:rFonts w:ascii="Arial" w:eastAsia="Times New Roman" w:hAnsi="Arial" w:cs="Arial"/>
          <w:color w:val="000000"/>
          <w:sz w:val="24"/>
          <w:szCs w:val="24"/>
          <w:lang w:val="en-US" w:eastAsia="pt-PT"/>
        </w:rPr>
        <w:t>decentralization</w:t>
      </w:r>
      <w:r w:rsidRPr="000A1C0D">
        <w:rPr>
          <w:rFonts w:ascii="Arial" w:eastAsia="Times New Roman" w:hAnsi="Arial" w:cs="Arial"/>
          <w:color w:val="000000"/>
          <w:sz w:val="24"/>
          <w:szCs w:val="24"/>
          <w:lang w:val="en-US" w:eastAsia="pt-PT"/>
        </w:rPr>
        <w:t xml:space="preserve"> of the security function, remaining integrated within the Internal Security System, under State coordination and constitutional limits.</w:t>
      </w:r>
    </w:p>
    <w:p w14:paraId="2CAD628F" w14:textId="77777777" w:rsidR="002B6EFB" w:rsidRPr="000A1C0D" w:rsidRDefault="002B6EFB" w:rsidP="002B6EFB">
      <w:pPr>
        <w:widowControl/>
        <w:autoSpaceDE/>
        <w:autoSpaceDN/>
        <w:spacing w:before="120" w:line="360" w:lineRule="auto"/>
        <w:jc w:val="both"/>
        <w:rPr>
          <w:rFonts w:ascii="Arial" w:eastAsia="Times New Roman" w:hAnsi="Arial" w:cs="Arial"/>
          <w:color w:val="000000"/>
          <w:sz w:val="24"/>
          <w:szCs w:val="24"/>
          <w:lang w:val="en-US" w:eastAsia="pt-PT"/>
        </w:rPr>
      </w:pPr>
    </w:p>
    <w:p w14:paraId="40B89077" w14:textId="4E50AECF" w:rsidR="000A1C0D" w:rsidRPr="002B6EFB" w:rsidRDefault="000A1C0D" w:rsidP="00BF1063">
      <w:pPr>
        <w:widowControl/>
        <w:autoSpaceDE/>
        <w:autoSpaceDN/>
        <w:spacing w:line="360" w:lineRule="auto"/>
        <w:jc w:val="both"/>
        <w:rPr>
          <w:rFonts w:ascii="Arial" w:eastAsia="Times New Roman" w:hAnsi="Arial" w:cs="Arial"/>
          <w:color w:val="000000"/>
          <w:sz w:val="24"/>
          <w:szCs w:val="24"/>
          <w:lang w:val="en-US" w:eastAsia="pt-PT"/>
        </w:rPr>
      </w:pPr>
      <w:r w:rsidRPr="002B6EFB">
        <w:rPr>
          <w:rFonts w:ascii="Arial" w:eastAsia="Times New Roman" w:hAnsi="Arial" w:cs="Arial"/>
          <w:b/>
          <w:bCs/>
          <w:color w:val="000000"/>
          <w:sz w:val="24"/>
          <w:szCs w:val="24"/>
          <w:lang w:val="en-US" w:eastAsia="pt-PT"/>
        </w:rPr>
        <w:t>Keywords:</w:t>
      </w:r>
      <w:r w:rsidR="002B6EFB" w:rsidRPr="002B6EFB">
        <w:rPr>
          <w:rFonts w:ascii="Arial" w:eastAsia="Times New Roman" w:hAnsi="Arial" w:cs="Arial"/>
          <w:b/>
          <w:bCs/>
          <w:color w:val="000000"/>
          <w:sz w:val="24"/>
          <w:szCs w:val="24"/>
          <w:lang w:val="en-US" w:eastAsia="pt-PT"/>
        </w:rPr>
        <w:t xml:space="preserve"> </w:t>
      </w:r>
      <w:r w:rsidR="007B542C" w:rsidRPr="002B6EFB">
        <w:rPr>
          <w:rFonts w:ascii="Arial" w:eastAsia="Times New Roman" w:hAnsi="Arial" w:cs="Arial"/>
          <w:color w:val="000000"/>
          <w:sz w:val="24"/>
          <w:szCs w:val="24"/>
          <w:lang w:val="en-US" w:eastAsia="pt-PT"/>
        </w:rPr>
        <w:t xml:space="preserve">Functional decentralization; </w:t>
      </w:r>
      <w:r w:rsidR="007E1A1B" w:rsidRPr="002B6EFB">
        <w:rPr>
          <w:rFonts w:ascii="Arial" w:eastAsia="Times New Roman" w:hAnsi="Arial" w:cs="Arial"/>
          <w:color w:val="000000"/>
          <w:sz w:val="24"/>
          <w:szCs w:val="24"/>
          <w:lang w:val="en-US" w:eastAsia="pt-PT"/>
        </w:rPr>
        <w:t>Internal security</w:t>
      </w:r>
      <w:r w:rsidR="007E1A1B">
        <w:rPr>
          <w:rFonts w:ascii="Arial" w:eastAsia="Times New Roman" w:hAnsi="Arial" w:cs="Arial"/>
          <w:color w:val="000000"/>
          <w:sz w:val="24"/>
          <w:szCs w:val="24"/>
          <w:lang w:val="en-US" w:eastAsia="pt-PT"/>
        </w:rPr>
        <w:t>;</w:t>
      </w:r>
      <w:r w:rsidR="007E1A1B" w:rsidRPr="002B6EFB">
        <w:rPr>
          <w:rFonts w:ascii="Arial" w:eastAsia="Times New Roman" w:hAnsi="Arial" w:cs="Arial"/>
          <w:color w:val="000000"/>
          <w:sz w:val="24"/>
          <w:szCs w:val="24"/>
          <w:lang w:val="en-US" w:eastAsia="pt-PT"/>
        </w:rPr>
        <w:t xml:space="preserve"> Integrated Urban Security Strategy</w:t>
      </w:r>
      <w:r w:rsidR="007E1A1B">
        <w:rPr>
          <w:rFonts w:ascii="Arial" w:eastAsia="Times New Roman" w:hAnsi="Arial" w:cs="Arial"/>
          <w:color w:val="000000"/>
          <w:sz w:val="24"/>
          <w:szCs w:val="24"/>
          <w:lang w:val="en-US" w:eastAsia="pt-PT"/>
        </w:rPr>
        <w:t>;</w:t>
      </w:r>
      <w:r w:rsidR="007E1A1B" w:rsidRPr="002B6EFB">
        <w:rPr>
          <w:rFonts w:ascii="Arial" w:eastAsia="Times New Roman" w:hAnsi="Arial" w:cs="Arial"/>
          <w:color w:val="000000"/>
          <w:sz w:val="24"/>
          <w:szCs w:val="24"/>
          <w:lang w:val="en-US" w:eastAsia="pt-PT"/>
        </w:rPr>
        <w:t xml:space="preserve"> Multilevel governance</w:t>
      </w:r>
      <w:r w:rsidR="007E1A1B">
        <w:rPr>
          <w:rFonts w:ascii="Arial" w:eastAsia="Times New Roman" w:hAnsi="Arial" w:cs="Arial"/>
          <w:color w:val="000000"/>
          <w:sz w:val="24"/>
          <w:szCs w:val="24"/>
          <w:lang w:val="en-US" w:eastAsia="pt-PT"/>
        </w:rPr>
        <w:t>;</w:t>
      </w:r>
      <w:r w:rsidR="007E1A1B" w:rsidRPr="002B6EFB">
        <w:rPr>
          <w:rFonts w:ascii="Arial" w:eastAsia="Times New Roman" w:hAnsi="Arial" w:cs="Arial"/>
          <w:color w:val="000000"/>
          <w:sz w:val="24"/>
          <w:szCs w:val="24"/>
          <w:lang w:val="en-US" w:eastAsia="pt-PT"/>
        </w:rPr>
        <w:t xml:space="preserve"> </w:t>
      </w:r>
      <w:r w:rsidR="002B6EFB" w:rsidRPr="002B6EFB">
        <w:rPr>
          <w:rFonts w:ascii="Arial" w:eastAsia="Times New Roman" w:hAnsi="Arial" w:cs="Arial"/>
          <w:color w:val="000000"/>
          <w:sz w:val="24"/>
          <w:szCs w:val="24"/>
          <w:lang w:val="en-US" w:eastAsia="pt-PT"/>
        </w:rPr>
        <w:t>Urban security</w:t>
      </w:r>
      <w:r w:rsidR="007E1A1B">
        <w:rPr>
          <w:rFonts w:ascii="Arial" w:eastAsia="Times New Roman" w:hAnsi="Arial" w:cs="Arial"/>
          <w:color w:val="000000"/>
          <w:sz w:val="24"/>
          <w:szCs w:val="24"/>
          <w:lang w:val="en-US" w:eastAsia="pt-PT"/>
        </w:rPr>
        <w:t>.</w:t>
      </w:r>
    </w:p>
    <w:p w14:paraId="0ADF060B" w14:textId="77777777" w:rsidR="000A1C0D" w:rsidRPr="002B6EFB" w:rsidRDefault="000A1C0D" w:rsidP="00BF1063">
      <w:pPr>
        <w:widowControl/>
        <w:autoSpaceDE/>
        <w:autoSpaceDN/>
        <w:spacing w:line="360" w:lineRule="auto"/>
        <w:jc w:val="both"/>
        <w:rPr>
          <w:rFonts w:ascii="Arial" w:eastAsia="Times New Roman" w:hAnsi="Arial" w:cs="Arial"/>
          <w:color w:val="000000"/>
          <w:sz w:val="24"/>
          <w:szCs w:val="24"/>
          <w:lang w:val="en-US" w:eastAsia="pt-PT"/>
        </w:rPr>
      </w:pPr>
    </w:p>
    <w:p w14:paraId="72DBB5B1" w14:textId="0A995F54" w:rsidR="000A1C0D" w:rsidRPr="00EE587B" w:rsidRDefault="000A1C0D" w:rsidP="00EE587B">
      <w:pPr>
        <w:pStyle w:val="PargrafodaLista"/>
        <w:widowControl/>
        <w:numPr>
          <w:ilvl w:val="0"/>
          <w:numId w:val="45"/>
        </w:numPr>
        <w:autoSpaceDE/>
        <w:autoSpaceDN/>
        <w:spacing w:before="120" w:line="360" w:lineRule="auto"/>
        <w:rPr>
          <w:rFonts w:ascii="Arial" w:eastAsia="Times New Roman" w:hAnsi="Arial" w:cs="Arial"/>
          <w:b/>
          <w:bCs/>
          <w:color w:val="000000"/>
          <w:sz w:val="24"/>
          <w:szCs w:val="24"/>
          <w:lang w:eastAsia="pt-PT"/>
        </w:rPr>
      </w:pPr>
      <w:r w:rsidRPr="00EE587B">
        <w:rPr>
          <w:rFonts w:ascii="Arial" w:eastAsia="Times New Roman" w:hAnsi="Arial" w:cs="Arial"/>
          <w:b/>
          <w:bCs/>
          <w:color w:val="000000"/>
          <w:sz w:val="24"/>
          <w:szCs w:val="24"/>
          <w:lang w:eastAsia="pt-PT"/>
        </w:rPr>
        <w:t>Introdução</w:t>
      </w:r>
    </w:p>
    <w:p w14:paraId="6AA5D133" w14:textId="66252700" w:rsidR="00E4740C" w:rsidRPr="00E4740C" w:rsidRDefault="00E4740C" w:rsidP="00EE587B">
      <w:pPr>
        <w:widowControl/>
        <w:autoSpaceDE/>
        <w:autoSpaceDN/>
        <w:spacing w:before="120" w:line="360" w:lineRule="auto"/>
        <w:ind w:firstLine="360"/>
        <w:jc w:val="both"/>
        <w:rPr>
          <w:rFonts w:ascii="Arial" w:eastAsia="Times New Roman" w:hAnsi="Arial" w:cs="Arial"/>
          <w:color w:val="000000"/>
          <w:sz w:val="24"/>
          <w:szCs w:val="24"/>
          <w:lang w:eastAsia="pt-PT"/>
        </w:rPr>
      </w:pPr>
      <w:r w:rsidRPr="00E4740C">
        <w:rPr>
          <w:rFonts w:ascii="Arial" w:eastAsia="Times New Roman" w:hAnsi="Arial" w:cs="Arial"/>
          <w:color w:val="000000"/>
          <w:sz w:val="24"/>
          <w:szCs w:val="24"/>
          <w:lang w:eastAsia="pt-PT"/>
        </w:rPr>
        <w:t>A segurança constitui uma das funções essenciais do Estado no âmbito do Estado de Direito Democrático, configurando-se como condição material para o exercício efetivo dos direitos, liberdades e garantias. Nas sociedades contemporâneas, marcadas por urbanização intensa, fragmentação social e riscos difusos e transnacionais, a segurança deixou de poder ser entendida exclusivamente a partir de uma lógica repressiva ou centrada no Estado, exigindo respostas preventivas e integradas.</w:t>
      </w:r>
    </w:p>
    <w:p w14:paraId="765783A4" w14:textId="77777777" w:rsidR="00E4740C" w:rsidRPr="00E4740C" w:rsidRDefault="00E4740C"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E4740C">
        <w:rPr>
          <w:rFonts w:ascii="Arial" w:eastAsia="Times New Roman" w:hAnsi="Arial" w:cs="Arial"/>
          <w:color w:val="000000"/>
          <w:sz w:val="24"/>
          <w:szCs w:val="24"/>
          <w:lang w:eastAsia="pt-PT"/>
        </w:rPr>
        <w:t>O espaço urbano assume relevância particular, sendo simultaneamente palco de vulnerabilidades, conflitos e perceções de insegurança e nível privilegiado de intervenção pública. A emergência da segurança urbana coloca desafios jurídico-políticos centrais, nomeadamente no que se refere à articulação entre segurança interna e políticas locais, ao papel das autarquias na governação da segurança e aos limites da descentralização num domínio tradicionalmente associado à soberania estatal.</w:t>
      </w:r>
    </w:p>
    <w:p w14:paraId="16621CEC" w14:textId="73188628" w:rsidR="00E4740C" w:rsidRPr="00E4740C" w:rsidRDefault="00E4740C"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E4740C">
        <w:rPr>
          <w:rFonts w:ascii="Arial" w:eastAsia="Times New Roman" w:hAnsi="Arial" w:cs="Arial"/>
          <w:color w:val="000000"/>
          <w:sz w:val="24"/>
          <w:szCs w:val="24"/>
          <w:lang w:eastAsia="pt-PT"/>
        </w:rPr>
        <w:t>O presente trabalho tem como objetivo analisar a segurança urbana enquanto dimensão da segurança interna no ordenamento jurídico português, procurando avaliar em que medida instrumentos contemporâneos de política pública</w:t>
      </w:r>
      <w:r w:rsidR="008B78E8">
        <w:rPr>
          <w:rFonts w:ascii="Arial" w:eastAsia="Times New Roman" w:hAnsi="Arial" w:cs="Arial"/>
          <w:color w:val="000000"/>
          <w:sz w:val="24"/>
          <w:szCs w:val="24"/>
          <w:lang w:eastAsia="pt-PT"/>
        </w:rPr>
        <w:t xml:space="preserve">, </w:t>
      </w:r>
      <w:r w:rsidRPr="00E4740C">
        <w:rPr>
          <w:rFonts w:ascii="Arial" w:eastAsia="Times New Roman" w:hAnsi="Arial" w:cs="Arial"/>
          <w:color w:val="000000"/>
          <w:sz w:val="24"/>
          <w:szCs w:val="24"/>
          <w:lang w:eastAsia="pt-PT"/>
        </w:rPr>
        <w:t>como a Estratégia Integrada de Segurança Urbana, os Conselhos Municipais de Segurança e os Contratos Locais de Segurança promovem formas de governação integrada e descentralização funcional.</w:t>
      </w:r>
    </w:p>
    <w:p w14:paraId="4CFC4467" w14:textId="77777777" w:rsidR="00E4740C" w:rsidRPr="00E4740C" w:rsidRDefault="00E4740C"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E4740C">
        <w:rPr>
          <w:rFonts w:ascii="Arial" w:eastAsia="Times New Roman" w:hAnsi="Arial" w:cs="Arial"/>
          <w:color w:val="000000"/>
          <w:sz w:val="24"/>
          <w:szCs w:val="24"/>
          <w:lang w:eastAsia="pt-PT"/>
        </w:rPr>
        <w:t xml:space="preserve">Adota-se uma abordagem jurídico-dogmática e analítico-crítica, baseada na análise do quadro constitucional, legal e doutrinário, nacional e internacional. A estrutura do estudo desenvolve-se em cinco capítulos, iniciando-se pelo enquadramento conceptual e constitucional da função de segurança do Estado, seguindo-se a análise da segurança urbana, dos instrumentos estratégicos e </w:t>
      </w:r>
      <w:r w:rsidRPr="00E4740C">
        <w:rPr>
          <w:rFonts w:ascii="Arial" w:eastAsia="Times New Roman" w:hAnsi="Arial" w:cs="Arial"/>
          <w:color w:val="000000"/>
          <w:sz w:val="24"/>
          <w:szCs w:val="24"/>
          <w:lang w:eastAsia="pt-PT"/>
        </w:rPr>
        <w:lastRenderedPageBreak/>
        <w:t>locais, e culminando numa reflexão sobre os limites e o alcance da descentralização em matéria de segurança urbana.</w:t>
      </w:r>
    </w:p>
    <w:p w14:paraId="31D59E90" w14:textId="77777777" w:rsidR="008B2415" w:rsidRDefault="008B2415" w:rsidP="00D905DB">
      <w:pPr>
        <w:widowControl/>
        <w:autoSpaceDE/>
        <w:autoSpaceDN/>
        <w:spacing w:line="360" w:lineRule="auto"/>
        <w:rPr>
          <w:rFonts w:ascii="Arial" w:eastAsia="Times New Roman" w:hAnsi="Arial" w:cs="Arial"/>
          <w:b/>
          <w:bCs/>
          <w:color w:val="000000"/>
          <w:sz w:val="24"/>
          <w:szCs w:val="24"/>
          <w:lang w:eastAsia="pt-PT"/>
        </w:rPr>
      </w:pPr>
    </w:p>
    <w:p w14:paraId="2FF24A52" w14:textId="7B3E738B" w:rsidR="00BF1063" w:rsidRPr="00EE587B" w:rsidRDefault="00BF1063" w:rsidP="00EE587B">
      <w:pPr>
        <w:pStyle w:val="PargrafodaLista"/>
        <w:widowControl/>
        <w:numPr>
          <w:ilvl w:val="0"/>
          <w:numId w:val="45"/>
        </w:numPr>
        <w:autoSpaceDE/>
        <w:autoSpaceDN/>
        <w:spacing w:line="360" w:lineRule="auto"/>
        <w:rPr>
          <w:rFonts w:ascii="Arial" w:eastAsia="Times New Roman" w:hAnsi="Arial" w:cs="Arial"/>
          <w:color w:val="000000"/>
          <w:sz w:val="24"/>
          <w:szCs w:val="24"/>
          <w:lang w:eastAsia="pt-PT"/>
        </w:rPr>
      </w:pPr>
      <w:r w:rsidRPr="00EE587B">
        <w:rPr>
          <w:rFonts w:ascii="Arial" w:eastAsia="Times New Roman" w:hAnsi="Arial" w:cs="Arial"/>
          <w:b/>
          <w:bCs/>
          <w:color w:val="000000"/>
          <w:sz w:val="24"/>
          <w:szCs w:val="24"/>
          <w:lang w:eastAsia="pt-PT"/>
        </w:rPr>
        <w:t>Direito da segurança e função de segurança do Estado</w:t>
      </w:r>
    </w:p>
    <w:p w14:paraId="586412E9" w14:textId="2F13CF90" w:rsidR="00547325" w:rsidRDefault="00BF1063"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BF1063">
        <w:rPr>
          <w:rFonts w:ascii="Arial" w:eastAsia="Times New Roman" w:hAnsi="Arial" w:cs="Arial"/>
          <w:color w:val="000000"/>
          <w:sz w:val="24"/>
          <w:szCs w:val="24"/>
          <w:lang w:eastAsia="pt-PT"/>
        </w:rPr>
        <w:t xml:space="preserve">A segurança </w:t>
      </w:r>
      <w:r>
        <w:rPr>
          <w:rFonts w:ascii="Arial" w:eastAsia="Times New Roman" w:hAnsi="Arial" w:cs="Arial"/>
          <w:color w:val="000000"/>
          <w:sz w:val="24"/>
          <w:szCs w:val="24"/>
          <w:lang w:eastAsia="pt-PT"/>
        </w:rPr>
        <w:t>é</w:t>
      </w:r>
      <w:r w:rsidRPr="00BF1063">
        <w:rPr>
          <w:rFonts w:ascii="Arial" w:eastAsia="Times New Roman" w:hAnsi="Arial" w:cs="Arial"/>
          <w:color w:val="000000"/>
          <w:sz w:val="24"/>
          <w:szCs w:val="24"/>
          <w:lang w:eastAsia="pt-PT"/>
        </w:rPr>
        <w:t xml:space="preserve"> uma função </w:t>
      </w:r>
      <w:r>
        <w:rPr>
          <w:rFonts w:ascii="Arial" w:eastAsia="Times New Roman" w:hAnsi="Arial" w:cs="Arial"/>
          <w:color w:val="000000"/>
          <w:sz w:val="24"/>
          <w:szCs w:val="24"/>
          <w:lang w:eastAsia="pt-PT"/>
        </w:rPr>
        <w:t>imperiosa</w:t>
      </w:r>
      <w:r w:rsidRPr="00BF1063">
        <w:rPr>
          <w:rFonts w:ascii="Arial" w:eastAsia="Times New Roman" w:hAnsi="Arial" w:cs="Arial"/>
          <w:color w:val="000000"/>
          <w:sz w:val="24"/>
          <w:szCs w:val="24"/>
          <w:lang w:eastAsia="pt-PT"/>
        </w:rPr>
        <w:t xml:space="preserve"> do Estado no </w:t>
      </w:r>
      <w:r>
        <w:rPr>
          <w:rFonts w:ascii="Arial" w:eastAsia="Times New Roman" w:hAnsi="Arial" w:cs="Arial"/>
          <w:color w:val="000000"/>
          <w:sz w:val="24"/>
          <w:szCs w:val="24"/>
          <w:lang w:eastAsia="pt-PT"/>
        </w:rPr>
        <w:t>âmbito</w:t>
      </w:r>
      <w:r w:rsidRPr="00BF1063">
        <w:rPr>
          <w:rFonts w:ascii="Arial" w:eastAsia="Times New Roman" w:hAnsi="Arial" w:cs="Arial"/>
          <w:color w:val="000000"/>
          <w:sz w:val="24"/>
          <w:szCs w:val="24"/>
          <w:lang w:eastAsia="pt-PT"/>
        </w:rPr>
        <w:t xml:space="preserve"> do Estado de Direito Democrático, assumindo-se</w:t>
      </w:r>
      <w:r>
        <w:rPr>
          <w:rFonts w:ascii="Arial" w:eastAsia="Times New Roman" w:hAnsi="Arial" w:cs="Arial"/>
          <w:color w:val="000000"/>
          <w:sz w:val="24"/>
          <w:szCs w:val="24"/>
          <w:lang w:eastAsia="pt-PT"/>
        </w:rPr>
        <w:t>, nesse sentido,</w:t>
      </w:r>
      <w:r w:rsidRPr="00BF1063">
        <w:rPr>
          <w:rFonts w:ascii="Arial" w:eastAsia="Times New Roman" w:hAnsi="Arial" w:cs="Arial"/>
          <w:color w:val="000000"/>
          <w:sz w:val="24"/>
          <w:szCs w:val="24"/>
          <w:lang w:eastAsia="pt-PT"/>
        </w:rPr>
        <w:t xml:space="preserve"> como condição ma</w:t>
      </w:r>
      <w:r w:rsidR="00D905DB">
        <w:rPr>
          <w:rFonts w:ascii="Arial" w:eastAsia="Times New Roman" w:hAnsi="Arial" w:cs="Arial"/>
          <w:color w:val="000000"/>
          <w:sz w:val="24"/>
          <w:szCs w:val="24"/>
          <w:lang w:eastAsia="pt-PT"/>
        </w:rPr>
        <w:t xml:space="preserve">terial do exercício efetivo </w:t>
      </w:r>
      <w:r w:rsidR="00D905DB" w:rsidRPr="00D905DB">
        <w:rPr>
          <w:rFonts w:ascii="Arial" w:hAnsi="Arial" w:cs="Arial"/>
          <w:sz w:val="24"/>
          <w:szCs w:val="24"/>
        </w:rPr>
        <w:t>dos direitos, liberdades e garantias</w:t>
      </w:r>
      <w:r w:rsidRPr="00D905DB">
        <w:rPr>
          <w:rFonts w:ascii="Arial" w:eastAsia="Times New Roman" w:hAnsi="Arial" w:cs="Arial"/>
          <w:color w:val="000000"/>
          <w:sz w:val="24"/>
          <w:szCs w:val="24"/>
          <w:lang w:eastAsia="pt-PT"/>
        </w:rPr>
        <w:t>.</w:t>
      </w:r>
      <w:r w:rsidRPr="00BF1063">
        <w:rPr>
          <w:rFonts w:ascii="Arial" w:eastAsia="Times New Roman" w:hAnsi="Arial" w:cs="Arial"/>
          <w:color w:val="000000"/>
          <w:sz w:val="24"/>
          <w:szCs w:val="24"/>
          <w:lang w:eastAsia="pt-PT"/>
        </w:rPr>
        <w:t xml:space="preserve"> A Constituição da República Portuguesa consagra a segurança como</w:t>
      </w:r>
      <w:r>
        <w:rPr>
          <w:rFonts w:ascii="Arial" w:eastAsia="Times New Roman" w:hAnsi="Arial" w:cs="Arial"/>
          <w:color w:val="000000"/>
          <w:sz w:val="24"/>
          <w:szCs w:val="24"/>
          <w:lang w:eastAsia="pt-PT"/>
        </w:rPr>
        <w:t xml:space="preserve"> uma</w:t>
      </w:r>
      <w:r w:rsidRPr="00BF1063">
        <w:rPr>
          <w:rFonts w:ascii="Arial" w:eastAsia="Times New Roman" w:hAnsi="Arial" w:cs="Arial"/>
          <w:color w:val="000000"/>
          <w:sz w:val="24"/>
          <w:szCs w:val="24"/>
          <w:lang w:eastAsia="pt-PT"/>
        </w:rPr>
        <w:t xml:space="preserve"> tarefa fundamental do Estado</w:t>
      </w:r>
      <w:r>
        <w:rPr>
          <w:rFonts w:ascii="Arial" w:eastAsia="Times New Roman" w:hAnsi="Arial" w:cs="Arial"/>
          <w:color w:val="000000"/>
          <w:sz w:val="24"/>
          <w:szCs w:val="24"/>
          <w:lang w:eastAsia="pt-PT"/>
        </w:rPr>
        <w:t xml:space="preserve"> e remete</w:t>
      </w:r>
      <w:r w:rsidRPr="00BF1063">
        <w:rPr>
          <w:rFonts w:ascii="Arial" w:eastAsia="Times New Roman" w:hAnsi="Arial" w:cs="Arial"/>
          <w:color w:val="000000"/>
          <w:sz w:val="24"/>
          <w:szCs w:val="24"/>
          <w:lang w:eastAsia="pt-PT"/>
        </w:rPr>
        <w:t xml:space="preserve"> a sua concretização para um quadro jurídico </w:t>
      </w:r>
      <w:r>
        <w:rPr>
          <w:rFonts w:ascii="Arial" w:eastAsia="Times New Roman" w:hAnsi="Arial" w:cs="Arial"/>
          <w:color w:val="000000"/>
          <w:sz w:val="24"/>
          <w:szCs w:val="24"/>
          <w:lang w:eastAsia="pt-PT"/>
        </w:rPr>
        <w:t xml:space="preserve">elaborado e </w:t>
      </w:r>
      <w:r w:rsidRPr="00BF1063">
        <w:rPr>
          <w:rFonts w:ascii="Arial" w:eastAsia="Times New Roman" w:hAnsi="Arial" w:cs="Arial"/>
          <w:color w:val="000000"/>
          <w:sz w:val="24"/>
          <w:szCs w:val="24"/>
          <w:lang w:eastAsia="pt-PT"/>
        </w:rPr>
        <w:t xml:space="preserve">rigoroso, assente nos princípios da legalidade, da proporcionalidade e do controlo democrático. </w:t>
      </w:r>
      <w:r w:rsidR="00547325">
        <w:rPr>
          <w:rFonts w:ascii="Arial" w:eastAsia="Times New Roman" w:hAnsi="Arial" w:cs="Arial"/>
          <w:color w:val="000000"/>
          <w:sz w:val="24"/>
          <w:szCs w:val="24"/>
          <w:lang w:eastAsia="pt-PT"/>
        </w:rPr>
        <w:t>Elias</w:t>
      </w:r>
      <w:r w:rsidR="002C3B8D">
        <w:rPr>
          <w:rFonts w:ascii="Arial" w:eastAsia="Times New Roman" w:hAnsi="Arial" w:cs="Arial"/>
          <w:color w:val="000000"/>
          <w:sz w:val="24"/>
          <w:szCs w:val="24"/>
          <w:lang w:eastAsia="pt-PT"/>
        </w:rPr>
        <w:t xml:space="preserve"> (</w:t>
      </w:r>
      <w:r w:rsidR="00547325">
        <w:rPr>
          <w:rFonts w:ascii="Arial" w:eastAsia="Times New Roman" w:hAnsi="Arial" w:cs="Arial"/>
          <w:color w:val="000000"/>
          <w:sz w:val="24"/>
          <w:szCs w:val="24"/>
          <w:lang w:eastAsia="pt-PT"/>
        </w:rPr>
        <w:t>2011</w:t>
      </w:r>
      <w:r w:rsidR="00212BF7">
        <w:rPr>
          <w:rFonts w:ascii="Arial" w:eastAsia="Times New Roman" w:hAnsi="Arial" w:cs="Arial"/>
          <w:color w:val="000000"/>
          <w:sz w:val="24"/>
          <w:szCs w:val="24"/>
          <w:lang w:eastAsia="pt-PT"/>
        </w:rPr>
        <w:t xml:space="preserve">, p. </w:t>
      </w:r>
      <w:r w:rsidR="00547325">
        <w:rPr>
          <w:rFonts w:ascii="Arial" w:eastAsia="Times New Roman" w:hAnsi="Arial" w:cs="Arial"/>
          <w:color w:val="000000"/>
          <w:sz w:val="24"/>
          <w:szCs w:val="24"/>
          <w:lang w:eastAsia="pt-PT"/>
        </w:rPr>
        <w:t>33)</w:t>
      </w:r>
      <w:r w:rsidR="001A7C28">
        <w:rPr>
          <w:rFonts w:ascii="Arial" w:eastAsia="Times New Roman" w:hAnsi="Arial" w:cs="Arial"/>
          <w:color w:val="000000"/>
          <w:sz w:val="24"/>
          <w:szCs w:val="24"/>
          <w:lang w:eastAsia="pt-PT"/>
        </w:rPr>
        <w:t>, com base em Loader e Walker (2007),</w:t>
      </w:r>
      <w:r w:rsidR="00547325">
        <w:rPr>
          <w:rFonts w:ascii="Arial" w:eastAsia="Times New Roman" w:hAnsi="Arial" w:cs="Arial"/>
          <w:color w:val="000000"/>
          <w:sz w:val="24"/>
          <w:szCs w:val="24"/>
          <w:lang w:eastAsia="pt-PT"/>
        </w:rPr>
        <w:t xml:space="preserve"> argumenta que a </w:t>
      </w:r>
      <w:r w:rsidR="00547325" w:rsidRPr="00547325">
        <w:rPr>
          <w:rFonts w:ascii="Arial" w:eastAsia="Times New Roman" w:hAnsi="Arial" w:cs="Arial"/>
          <w:color w:val="000000"/>
          <w:sz w:val="24"/>
          <w:szCs w:val="24"/>
          <w:lang w:eastAsia="pt-PT"/>
        </w:rPr>
        <w:t xml:space="preserve">segurança constitui um direito-dever, na medida em que consiste num bem público </w:t>
      </w:r>
      <w:r w:rsidR="00547325">
        <w:rPr>
          <w:rFonts w:ascii="Arial" w:eastAsia="Times New Roman" w:hAnsi="Arial" w:cs="Arial"/>
          <w:color w:val="000000"/>
          <w:sz w:val="24"/>
          <w:szCs w:val="24"/>
          <w:lang w:eastAsia="pt-PT"/>
        </w:rPr>
        <w:t xml:space="preserve">como </w:t>
      </w:r>
      <w:r w:rsidR="001A7C28">
        <w:rPr>
          <w:rFonts w:ascii="Arial" w:eastAsia="Times New Roman" w:hAnsi="Arial" w:cs="Arial"/>
          <w:color w:val="000000"/>
          <w:sz w:val="24"/>
          <w:szCs w:val="24"/>
          <w:lang w:eastAsia="pt-PT"/>
        </w:rPr>
        <w:t>n</w:t>
      </w:r>
      <w:r w:rsidR="00547325">
        <w:rPr>
          <w:rFonts w:ascii="Arial" w:eastAsia="Times New Roman" w:hAnsi="Arial" w:cs="Arial"/>
          <w:color w:val="000000"/>
          <w:sz w:val="24"/>
          <w:szCs w:val="24"/>
          <w:lang w:eastAsia="pt-PT"/>
        </w:rPr>
        <w:t>um direito dos cidadãos e da sociedade e, um dever do Estado. Constituindo-se como pressuposto essencial</w:t>
      </w:r>
      <w:r w:rsidR="003C5B07">
        <w:rPr>
          <w:rFonts w:ascii="Arial" w:eastAsia="Times New Roman" w:hAnsi="Arial" w:cs="Arial"/>
          <w:color w:val="000000"/>
          <w:sz w:val="24"/>
          <w:szCs w:val="24"/>
          <w:lang w:eastAsia="pt-PT"/>
        </w:rPr>
        <w:t>, e primeiro,</w:t>
      </w:r>
      <w:r w:rsidR="00547325">
        <w:rPr>
          <w:rFonts w:ascii="Arial" w:eastAsia="Times New Roman" w:hAnsi="Arial" w:cs="Arial"/>
          <w:color w:val="000000"/>
          <w:sz w:val="24"/>
          <w:szCs w:val="24"/>
          <w:lang w:eastAsia="pt-PT"/>
        </w:rPr>
        <w:t xml:space="preserve"> para o exercício de outros direitos fundamentais. </w:t>
      </w:r>
    </w:p>
    <w:p w14:paraId="7D1A0493" w14:textId="6B85D626" w:rsidR="00BF1063" w:rsidRDefault="00BF1063" w:rsidP="00EE587B">
      <w:pPr>
        <w:widowControl/>
        <w:autoSpaceDE/>
        <w:autoSpaceDN/>
        <w:spacing w:line="360" w:lineRule="auto"/>
        <w:ind w:firstLine="360"/>
        <w:jc w:val="both"/>
        <w:rPr>
          <w:rFonts w:ascii="Arial" w:eastAsia="Times New Roman" w:hAnsi="Arial" w:cs="Arial"/>
          <w:color w:val="000000"/>
          <w:sz w:val="24"/>
          <w:szCs w:val="24"/>
          <w:lang w:eastAsia="pt-PT"/>
        </w:rPr>
      </w:pPr>
      <w:r>
        <w:rPr>
          <w:rFonts w:ascii="Arial" w:eastAsia="Times New Roman" w:hAnsi="Arial" w:cs="Arial"/>
          <w:color w:val="000000"/>
          <w:sz w:val="24"/>
          <w:szCs w:val="24"/>
          <w:lang w:eastAsia="pt-PT"/>
        </w:rPr>
        <w:t>N</w:t>
      </w:r>
      <w:r w:rsidR="00093E15">
        <w:rPr>
          <w:rFonts w:ascii="Arial" w:eastAsia="Times New Roman" w:hAnsi="Arial" w:cs="Arial"/>
          <w:color w:val="000000"/>
          <w:sz w:val="24"/>
          <w:szCs w:val="24"/>
          <w:lang w:eastAsia="pt-PT"/>
        </w:rPr>
        <w:t>este</w:t>
      </w:r>
      <w:r>
        <w:rPr>
          <w:rFonts w:ascii="Arial" w:eastAsia="Times New Roman" w:hAnsi="Arial" w:cs="Arial"/>
          <w:color w:val="000000"/>
          <w:sz w:val="24"/>
          <w:szCs w:val="24"/>
          <w:lang w:eastAsia="pt-PT"/>
        </w:rPr>
        <w:t xml:space="preserve"> contexto</w:t>
      </w:r>
      <w:r w:rsidRPr="00BF1063">
        <w:rPr>
          <w:rFonts w:ascii="Arial" w:eastAsia="Times New Roman" w:hAnsi="Arial" w:cs="Arial"/>
          <w:color w:val="000000"/>
          <w:sz w:val="24"/>
          <w:szCs w:val="24"/>
          <w:lang w:eastAsia="pt-PT"/>
        </w:rPr>
        <w:t xml:space="preserve">, o Direito da Segurança surge como o ramo jurídico </w:t>
      </w:r>
      <w:r>
        <w:rPr>
          <w:rFonts w:ascii="Arial" w:eastAsia="Times New Roman" w:hAnsi="Arial" w:cs="Arial"/>
          <w:color w:val="000000"/>
          <w:sz w:val="24"/>
          <w:szCs w:val="24"/>
          <w:lang w:eastAsia="pt-PT"/>
        </w:rPr>
        <w:t>designado</w:t>
      </w:r>
      <w:r w:rsidRPr="00BF1063">
        <w:rPr>
          <w:rFonts w:ascii="Arial" w:eastAsia="Times New Roman" w:hAnsi="Arial" w:cs="Arial"/>
          <w:color w:val="000000"/>
          <w:sz w:val="24"/>
          <w:szCs w:val="24"/>
          <w:lang w:eastAsia="pt-PT"/>
        </w:rPr>
        <w:t xml:space="preserve"> a enquadrar, limitar e legitimar o exercício do poder de segurança, </w:t>
      </w:r>
      <w:r w:rsidR="00542D84">
        <w:rPr>
          <w:rFonts w:ascii="Arial" w:eastAsia="Times New Roman" w:hAnsi="Arial" w:cs="Arial"/>
          <w:color w:val="000000"/>
          <w:sz w:val="24"/>
          <w:szCs w:val="24"/>
          <w:lang w:eastAsia="pt-PT"/>
        </w:rPr>
        <w:t>garantindo assim</w:t>
      </w:r>
      <w:r w:rsidRPr="00BF1063">
        <w:rPr>
          <w:rFonts w:ascii="Arial" w:eastAsia="Times New Roman" w:hAnsi="Arial" w:cs="Arial"/>
          <w:color w:val="000000"/>
          <w:sz w:val="24"/>
          <w:szCs w:val="24"/>
          <w:lang w:eastAsia="pt-PT"/>
        </w:rPr>
        <w:t xml:space="preserve"> a unidade da função de segurança do Estado e a proteção dos direitos fundamentais.</w:t>
      </w:r>
    </w:p>
    <w:p w14:paraId="08756F56" w14:textId="77777777" w:rsidR="00653D10" w:rsidRDefault="00653D10" w:rsidP="00BF1063">
      <w:pPr>
        <w:widowControl/>
        <w:autoSpaceDE/>
        <w:autoSpaceDN/>
        <w:spacing w:line="360" w:lineRule="auto"/>
        <w:jc w:val="both"/>
        <w:rPr>
          <w:rFonts w:ascii="Arial" w:eastAsia="Times New Roman" w:hAnsi="Arial" w:cs="Arial"/>
          <w:color w:val="000000"/>
          <w:sz w:val="24"/>
          <w:szCs w:val="24"/>
          <w:lang w:eastAsia="pt-PT"/>
        </w:rPr>
      </w:pPr>
    </w:p>
    <w:p w14:paraId="51C8E359" w14:textId="7DE0AEB1" w:rsidR="006E5064" w:rsidRPr="00EE587B" w:rsidRDefault="0072119F" w:rsidP="00EE587B">
      <w:pPr>
        <w:pStyle w:val="PargrafodaLista"/>
        <w:widowControl/>
        <w:numPr>
          <w:ilvl w:val="1"/>
          <w:numId w:val="45"/>
        </w:numPr>
        <w:autoSpaceDE/>
        <w:autoSpaceDN/>
        <w:spacing w:line="360" w:lineRule="auto"/>
        <w:jc w:val="both"/>
        <w:rPr>
          <w:rFonts w:ascii="Arial" w:eastAsia="Times New Roman" w:hAnsi="Arial" w:cs="Arial"/>
          <w:b/>
          <w:bCs/>
          <w:color w:val="000000"/>
          <w:sz w:val="24"/>
          <w:szCs w:val="24"/>
          <w:lang w:eastAsia="pt-PT"/>
        </w:rPr>
      </w:pPr>
      <w:r w:rsidRPr="00EE587B">
        <w:rPr>
          <w:rFonts w:ascii="Arial" w:eastAsia="Times New Roman" w:hAnsi="Arial" w:cs="Arial"/>
          <w:b/>
          <w:bCs/>
          <w:color w:val="000000"/>
          <w:sz w:val="24"/>
          <w:szCs w:val="24"/>
          <w:lang w:eastAsia="pt-PT"/>
        </w:rPr>
        <w:t>Conceito de segurança e racionalidade da função de segurança do Estado</w:t>
      </w:r>
    </w:p>
    <w:p w14:paraId="23772602" w14:textId="267EAAAF" w:rsidR="008A414A" w:rsidRPr="008A414A" w:rsidRDefault="008A414A"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8A414A">
        <w:rPr>
          <w:rFonts w:ascii="Arial" w:eastAsia="Times New Roman" w:hAnsi="Arial" w:cs="Arial"/>
          <w:color w:val="000000"/>
          <w:sz w:val="24"/>
          <w:szCs w:val="24"/>
          <w:lang w:eastAsia="pt-PT"/>
        </w:rPr>
        <w:t xml:space="preserve">A segurança foi historicamente concebida como segurança do Estado, centrada na defesa da soberania, da integridade territorial e da independência política. Esta visão estatocêntrica, fortemente influenciada pelo paradigma realista das relações internacionais, assentava numa distinção clara entre segurança interna e segurança externa, refletida tanto na organização institucional como no enquadramento jurídico das funções do Estado. Durante grande parte do século XX, a segurança interna foi associada à manutenção da ordem pública e à repressão da criminalidade comum, </w:t>
      </w:r>
      <w:r w:rsidR="00124414">
        <w:rPr>
          <w:rFonts w:ascii="Arial" w:eastAsia="Times New Roman" w:hAnsi="Arial" w:cs="Arial"/>
          <w:color w:val="000000"/>
          <w:sz w:val="24"/>
          <w:szCs w:val="24"/>
          <w:lang w:eastAsia="pt-PT"/>
        </w:rPr>
        <w:t xml:space="preserve">ao passo que a </w:t>
      </w:r>
      <w:r w:rsidRPr="008A414A">
        <w:rPr>
          <w:rFonts w:ascii="Arial" w:eastAsia="Times New Roman" w:hAnsi="Arial" w:cs="Arial"/>
          <w:color w:val="000000"/>
          <w:sz w:val="24"/>
          <w:szCs w:val="24"/>
          <w:lang w:eastAsia="pt-PT"/>
        </w:rPr>
        <w:t xml:space="preserve">segurança externa </w:t>
      </w:r>
      <w:r w:rsidR="00124414">
        <w:rPr>
          <w:rFonts w:ascii="Arial" w:eastAsia="Times New Roman" w:hAnsi="Arial" w:cs="Arial"/>
          <w:color w:val="000000"/>
          <w:sz w:val="24"/>
          <w:szCs w:val="24"/>
          <w:lang w:eastAsia="pt-PT"/>
        </w:rPr>
        <w:t>esteve</w:t>
      </w:r>
      <w:r w:rsidRPr="008A414A">
        <w:rPr>
          <w:rFonts w:ascii="Arial" w:eastAsia="Times New Roman" w:hAnsi="Arial" w:cs="Arial"/>
          <w:color w:val="000000"/>
          <w:sz w:val="24"/>
          <w:szCs w:val="24"/>
          <w:lang w:eastAsia="pt-PT"/>
        </w:rPr>
        <w:t xml:space="preserve"> essencialmente </w:t>
      </w:r>
      <w:r w:rsidR="00124414">
        <w:rPr>
          <w:rFonts w:ascii="Arial" w:eastAsia="Times New Roman" w:hAnsi="Arial" w:cs="Arial"/>
          <w:color w:val="000000"/>
          <w:sz w:val="24"/>
          <w:szCs w:val="24"/>
          <w:lang w:eastAsia="pt-PT"/>
        </w:rPr>
        <w:t xml:space="preserve">ligada </w:t>
      </w:r>
      <w:r w:rsidRPr="008A414A">
        <w:rPr>
          <w:rFonts w:ascii="Arial" w:eastAsia="Times New Roman" w:hAnsi="Arial" w:cs="Arial"/>
          <w:color w:val="000000"/>
          <w:sz w:val="24"/>
          <w:szCs w:val="24"/>
          <w:lang w:eastAsia="pt-PT"/>
        </w:rPr>
        <w:t>à defesa nacional e à política externa.</w:t>
      </w:r>
    </w:p>
    <w:p w14:paraId="5B1180DB" w14:textId="77777777" w:rsidR="00653D10" w:rsidRDefault="008A414A"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8A414A">
        <w:rPr>
          <w:rFonts w:ascii="Arial" w:eastAsia="Times New Roman" w:hAnsi="Arial" w:cs="Arial"/>
          <w:color w:val="000000"/>
          <w:sz w:val="24"/>
          <w:szCs w:val="24"/>
          <w:lang w:eastAsia="pt-PT"/>
        </w:rPr>
        <w:t>Contudo, o fim da Guerra Fria e a intensificação da globalização</w:t>
      </w:r>
      <w:r w:rsidR="00E7011A">
        <w:rPr>
          <w:rFonts w:ascii="Arial" w:eastAsia="Times New Roman" w:hAnsi="Arial" w:cs="Arial"/>
          <w:color w:val="000000"/>
          <w:sz w:val="24"/>
          <w:szCs w:val="24"/>
          <w:lang w:eastAsia="pt-PT"/>
        </w:rPr>
        <w:t xml:space="preserve"> e consequentemente da transnacionalidade dos acontecimentos, </w:t>
      </w:r>
      <w:r w:rsidRPr="008A414A">
        <w:rPr>
          <w:rFonts w:ascii="Arial" w:eastAsia="Times New Roman" w:hAnsi="Arial" w:cs="Arial"/>
          <w:color w:val="000000"/>
          <w:sz w:val="24"/>
          <w:szCs w:val="24"/>
          <w:lang w:eastAsia="pt-PT"/>
        </w:rPr>
        <w:t xml:space="preserve">contribuíram </w:t>
      </w:r>
      <w:r w:rsidRPr="008A414A">
        <w:rPr>
          <w:rFonts w:ascii="Arial" w:eastAsia="Times New Roman" w:hAnsi="Arial" w:cs="Arial"/>
          <w:color w:val="000000"/>
          <w:sz w:val="24"/>
          <w:szCs w:val="24"/>
          <w:lang w:eastAsia="pt-PT"/>
        </w:rPr>
        <w:lastRenderedPageBreak/>
        <w:t xml:space="preserve">para o surgimento de um novo paradigma securitário, marcado pela multiplicação de riscos difusos, transnacionais e protagonizados por atores não estatais. </w:t>
      </w:r>
      <w:r w:rsidR="00124414">
        <w:rPr>
          <w:rFonts w:ascii="Arial" w:eastAsia="Times New Roman" w:hAnsi="Arial" w:cs="Arial"/>
          <w:color w:val="000000"/>
          <w:sz w:val="24"/>
          <w:szCs w:val="24"/>
          <w:lang w:eastAsia="pt-PT"/>
        </w:rPr>
        <w:t>Foi neste contexto que</w:t>
      </w:r>
      <w:r w:rsidRPr="008A414A">
        <w:rPr>
          <w:rFonts w:ascii="Arial" w:eastAsia="Times New Roman" w:hAnsi="Arial" w:cs="Arial"/>
          <w:color w:val="000000"/>
          <w:sz w:val="24"/>
          <w:szCs w:val="24"/>
          <w:lang w:eastAsia="pt-PT"/>
        </w:rPr>
        <w:t xml:space="preserve"> o conceito de segurança </w:t>
      </w:r>
      <w:r w:rsidR="00124414">
        <w:rPr>
          <w:rFonts w:ascii="Arial" w:eastAsia="Times New Roman" w:hAnsi="Arial" w:cs="Arial"/>
          <w:color w:val="000000"/>
          <w:sz w:val="24"/>
          <w:szCs w:val="24"/>
          <w:lang w:eastAsia="pt-PT"/>
        </w:rPr>
        <w:t>se redimensionou,</w:t>
      </w:r>
      <w:r w:rsidRPr="008A414A">
        <w:rPr>
          <w:rFonts w:ascii="Arial" w:eastAsia="Times New Roman" w:hAnsi="Arial" w:cs="Arial"/>
          <w:color w:val="000000"/>
          <w:sz w:val="24"/>
          <w:szCs w:val="24"/>
          <w:lang w:eastAsia="pt-PT"/>
        </w:rPr>
        <w:t xml:space="preserve"> passando a abranger dimensões económicas, sociais, ambientais e humanas, deixando </w:t>
      </w:r>
      <w:r w:rsidR="00F52ECE">
        <w:rPr>
          <w:rFonts w:ascii="Arial" w:eastAsia="Times New Roman" w:hAnsi="Arial" w:cs="Arial"/>
          <w:color w:val="000000"/>
          <w:sz w:val="24"/>
          <w:szCs w:val="24"/>
          <w:lang w:eastAsia="pt-PT"/>
        </w:rPr>
        <w:t xml:space="preserve">assim </w:t>
      </w:r>
      <w:r w:rsidRPr="008A414A">
        <w:rPr>
          <w:rFonts w:ascii="Arial" w:eastAsia="Times New Roman" w:hAnsi="Arial" w:cs="Arial"/>
          <w:color w:val="000000"/>
          <w:sz w:val="24"/>
          <w:szCs w:val="24"/>
          <w:lang w:eastAsia="pt-PT"/>
        </w:rPr>
        <w:t>de se limitar</w:t>
      </w:r>
      <w:r w:rsidR="00F52ECE">
        <w:rPr>
          <w:rFonts w:ascii="Arial" w:eastAsia="Times New Roman" w:hAnsi="Arial" w:cs="Arial"/>
          <w:color w:val="000000"/>
          <w:sz w:val="24"/>
          <w:szCs w:val="24"/>
          <w:lang w:eastAsia="pt-PT"/>
        </w:rPr>
        <w:t xml:space="preserve"> e remeter </w:t>
      </w:r>
      <w:r w:rsidRPr="008A414A">
        <w:rPr>
          <w:rFonts w:ascii="Arial" w:eastAsia="Times New Roman" w:hAnsi="Arial" w:cs="Arial"/>
          <w:color w:val="000000"/>
          <w:sz w:val="24"/>
          <w:szCs w:val="24"/>
          <w:lang w:eastAsia="pt-PT"/>
        </w:rPr>
        <w:t>à proteção contra a guerra para incluir vulnerabilidades que afetam a estabilidade política, a coesão social e o bem-estar coletivo.</w:t>
      </w:r>
      <w:r w:rsidR="00E7011A">
        <w:rPr>
          <w:rFonts w:ascii="Arial" w:eastAsia="Times New Roman" w:hAnsi="Arial" w:cs="Arial"/>
          <w:color w:val="000000"/>
          <w:sz w:val="24"/>
          <w:szCs w:val="24"/>
          <w:lang w:eastAsia="pt-PT"/>
        </w:rPr>
        <w:t xml:space="preserve"> </w:t>
      </w:r>
    </w:p>
    <w:p w14:paraId="53495A94" w14:textId="377693D1" w:rsidR="008A414A" w:rsidRPr="008A414A" w:rsidRDefault="008A414A"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8A414A">
        <w:rPr>
          <w:rFonts w:ascii="Arial" w:eastAsia="Times New Roman" w:hAnsi="Arial" w:cs="Arial"/>
          <w:color w:val="000000"/>
          <w:sz w:val="24"/>
          <w:szCs w:val="24"/>
          <w:lang w:eastAsia="pt-PT"/>
        </w:rPr>
        <w:t>A Escola de Copenhaga desempenhou um papel relevante nesta evolução conceptual ao introduzir a noção de securitização, entendida como o processo através do qual determinados atores constroem discursivamente uma questão como ameaça existencial, legitimando a adoção de medidas excecionais (Buzan, Wæver &amp; de Wilde, 1998). Nesta perspetiva, a segurança assume um caráter dinâmico e contingente, dependente de opções políticas e discursivas. Ainda assim, Barry Buzan sublinha a ligação estrutural entre segurança, soberania e autoridade política, afirmando que a segurança se encontra profundamente associada à sobrevivência do Estado e à sua capacidade de manter a ordem política (Buzan, 1991). A função de segurança do Estado fundamenta-se, assim, na responsabilidade de assegurar a continuidade da comunidade política organizada.</w:t>
      </w:r>
    </w:p>
    <w:p w14:paraId="56CF0C18" w14:textId="6141544B" w:rsidR="002B7492" w:rsidRPr="009045FB" w:rsidRDefault="008A414A" w:rsidP="00EE587B">
      <w:pPr>
        <w:widowControl/>
        <w:autoSpaceDE/>
        <w:autoSpaceDN/>
        <w:spacing w:line="360" w:lineRule="auto"/>
        <w:ind w:firstLine="360"/>
        <w:jc w:val="both"/>
        <w:rPr>
          <w:rFonts w:ascii="Arial" w:eastAsia="Times New Roman" w:hAnsi="Arial" w:cs="Arial"/>
          <w:color w:val="EE0000"/>
          <w:sz w:val="24"/>
          <w:szCs w:val="24"/>
          <w:lang w:eastAsia="pt-PT"/>
        </w:rPr>
      </w:pPr>
      <w:r w:rsidRPr="008A414A">
        <w:rPr>
          <w:rFonts w:ascii="Arial" w:eastAsia="Times New Roman" w:hAnsi="Arial" w:cs="Arial"/>
          <w:color w:val="000000"/>
          <w:sz w:val="24"/>
          <w:szCs w:val="24"/>
          <w:lang w:eastAsia="pt-PT"/>
        </w:rPr>
        <w:t>Foucault</w:t>
      </w:r>
      <w:r w:rsidR="002C3B8D">
        <w:rPr>
          <w:rFonts w:ascii="Arial" w:eastAsia="Times New Roman" w:hAnsi="Arial" w:cs="Arial"/>
          <w:color w:val="000000"/>
          <w:sz w:val="24"/>
          <w:szCs w:val="24"/>
          <w:lang w:eastAsia="pt-PT"/>
        </w:rPr>
        <w:t xml:space="preserve"> (</w:t>
      </w:r>
      <w:r w:rsidR="000865C2">
        <w:rPr>
          <w:rFonts w:ascii="Arial" w:eastAsia="Times New Roman" w:hAnsi="Arial" w:cs="Arial"/>
          <w:color w:val="000000"/>
          <w:sz w:val="24"/>
          <w:szCs w:val="24"/>
          <w:lang w:eastAsia="pt-PT"/>
        </w:rPr>
        <w:t>2008</w:t>
      </w:r>
      <w:r w:rsidRPr="008A414A">
        <w:rPr>
          <w:rFonts w:ascii="Arial" w:eastAsia="Times New Roman" w:hAnsi="Arial" w:cs="Arial"/>
          <w:color w:val="000000"/>
          <w:sz w:val="24"/>
          <w:szCs w:val="24"/>
          <w:lang w:eastAsia="pt-PT"/>
        </w:rPr>
        <w:t>) analisa os dispositivos de segurança como técnicas de governação distintas dos mecanismos legais e disciplinares, orientadas para a gestão de probabilidades, riscos e normalidades, mais do que para a proibição direta dos comportamentos. Nesta leitura, a segurança surge como uma racionalidade de poder centrada na regulação das populações e na administração da vida social, afastando-se de uma definição jurídico-formal estrita.</w:t>
      </w:r>
      <w:r w:rsidR="002B7492">
        <w:rPr>
          <w:rFonts w:ascii="Arial" w:eastAsia="Times New Roman" w:hAnsi="Arial" w:cs="Arial"/>
          <w:color w:val="000000"/>
          <w:sz w:val="24"/>
          <w:szCs w:val="24"/>
          <w:lang w:eastAsia="pt-PT"/>
        </w:rPr>
        <w:t xml:space="preserve"> Convergindo também nesta ideia </w:t>
      </w:r>
      <w:r w:rsidR="002B7492" w:rsidRPr="002B7492">
        <w:rPr>
          <w:rFonts w:ascii="Arial" w:eastAsia="Times New Roman" w:hAnsi="Arial" w:cs="Arial"/>
          <w:color w:val="000000"/>
          <w:sz w:val="24"/>
          <w:szCs w:val="24"/>
          <w:lang w:eastAsia="pt-PT"/>
        </w:rPr>
        <w:t>fundamental de que a segurança é o eixo central da governação moderna</w:t>
      </w:r>
      <w:r w:rsidR="002B7492">
        <w:rPr>
          <w:rFonts w:ascii="Arial" w:eastAsia="Times New Roman" w:hAnsi="Arial" w:cs="Arial"/>
          <w:color w:val="000000"/>
          <w:sz w:val="24"/>
          <w:szCs w:val="24"/>
          <w:lang w:eastAsia="pt-PT"/>
        </w:rPr>
        <w:t xml:space="preserve">, </w:t>
      </w:r>
      <w:r w:rsidRPr="008A414A">
        <w:rPr>
          <w:rFonts w:ascii="Arial" w:eastAsia="Times New Roman" w:hAnsi="Arial" w:cs="Arial"/>
          <w:color w:val="000000"/>
          <w:sz w:val="24"/>
          <w:szCs w:val="24"/>
          <w:lang w:eastAsia="pt-PT"/>
        </w:rPr>
        <w:t>Zedner</w:t>
      </w:r>
      <w:r w:rsidR="00A74081">
        <w:rPr>
          <w:rFonts w:ascii="Arial" w:eastAsia="Times New Roman" w:hAnsi="Arial" w:cs="Arial"/>
          <w:color w:val="000000"/>
          <w:sz w:val="24"/>
          <w:szCs w:val="24"/>
          <w:lang w:eastAsia="pt-PT"/>
        </w:rPr>
        <w:t xml:space="preserve"> </w:t>
      </w:r>
      <w:r w:rsidR="002C3B8D">
        <w:rPr>
          <w:rFonts w:ascii="Arial" w:eastAsia="Times New Roman" w:hAnsi="Arial" w:cs="Arial"/>
          <w:color w:val="000000"/>
          <w:sz w:val="24"/>
          <w:szCs w:val="24"/>
          <w:lang w:eastAsia="pt-PT"/>
        </w:rPr>
        <w:t>(</w:t>
      </w:r>
      <w:r w:rsidRPr="008A414A">
        <w:rPr>
          <w:rFonts w:ascii="Arial" w:eastAsia="Times New Roman" w:hAnsi="Arial" w:cs="Arial"/>
          <w:color w:val="000000"/>
          <w:sz w:val="24"/>
          <w:szCs w:val="24"/>
          <w:lang w:eastAsia="pt-PT"/>
        </w:rPr>
        <w:t>2003), por seu turno, caracteriza a segurança como um conceito polissémico e indeterminado, simultaneamente analítico e prático. A autora destaca que a segurança pode ser entendida como um estado objetivo ou subjetivo, bem como um meio para alcançar proteção, assumindo uma função central na legitimação da ação governativa. Com base numa leitura contratualista de inspiração hobbesiana, Zedner</w:t>
      </w:r>
      <w:r w:rsidR="002C3B8D">
        <w:rPr>
          <w:rFonts w:ascii="Arial" w:eastAsia="Times New Roman" w:hAnsi="Arial" w:cs="Arial"/>
          <w:color w:val="000000"/>
          <w:sz w:val="24"/>
          <w:szCs w:val="24"/>
          <w:lang w:eastAsia="pt-PT"/>
        </w:rPr>
        <w:t xml:space="preserve"> (2003)</w:t>
      </w:r>
      <w:r w:rsidRPr="008A414A">
        <w:rPr>
          <w:rFonts w:ascii="Arial" w:eastAsia="Times New Roman" w:hAnsi="Arial" w:cs="Arial"/>
          <w:color w:val="000000"/>
          <w:sz w:val="24"/>
          <w:szCs w:val="24"/>
          <w:lang w:eastAsia="pt-PT"/>
        </w:rPr>
        <w:t xml:space="preserve"> sustenta que a provisão de segurança constitui a </w:t>
      </w:r>
      <w:r w:rsidR="00F307AD">
        <w:rPr>
          <w:rFonts w:ascii="Arial" w:eastAsia="Times New Roman" w:hAnsi="Arial" w:cs="Arial"/>
          <w:color w:val="000000"/>
          <w:sz w:val="24"/>
          <w:szCs w:val="24"/>
          <w:lang w:eastAsia="pt-PT"/>
        </w:rPr>
        <w:t>“</w:t>
      </w:r>
      <w:r w:rsidRPr="008A414A">
        <w:rPr>
          <w:rFonts w:ascii="Arial" w:eastAsia="Times New Roman" w:hAnsi="Arial" w:cs="Arial"/>
          <w:color w:val="000000"/>
          <w:sz w:val="24"/>
          <w:szCs w:val="24"/>
          <w:lang w:eastAsia="pt-PT"/>
        </w:rPr>
        <w:t>raison d’être</w:t>
      </w:r>
      <w:r w:rsidR="00F307AD">
        <w:rPr>
          <w:rFonts w:ascii="Arial" w:eastAsia="Times New Roman" w:hAnsi="Arial" w:cs="Arial"/>
          <w:color w:val="000000"/>
          <w:sz w:val="24"/>
          <w:szCs w:val="24"/>
          <w:lang w:eastAsia="pt-PT"/>
        </w:rPr>
        <w:t>”</w:t>
      </w:r>
      <w:r w:rsidRPr="008A414A">
        <w:rPr>
          <w:rFonts w:ascii="Arial" w:eastAsia="Times New Roman" w:hAnsi="Arial" w:cs="Arial"/>
          <w:color w:val="000000"/>
          <w:sz w:val="24"/>
          <w:szCs w:val="24"/>
          <w:lang w:eastAsia="pt-PT"/>
        </w:rPr>
        <w:t xml:space="preserve"> do Estado, advertindo, </w:t>
      </w:r>
      <w:r w:rsidRPr="008A414A">
        <w:rPr>
          <w:rFonts w:ascii="Arial" w:eastAsia="Times New Roman" w:hAnsi="Arial" w:cs="Arial"/>
          <w:color w:val="000000"/>
          <w:sz w:val="24"/>
          <w:szCs w:val="24"/>
          <w:lang w:eastAsia="pt-PT"/>
        </w:rPr>
        <w:lastRenderedPageBreak/>
        <w:t>contudo, para os riscos da sua instrumentalização política e da normalização de medidas excecionais.</w:t>
      </w:r>
      <w:r w:rsidR="00625CC9">
        <w:rPr>
          <w:rFonts w:ascii="Arial" w:eastAsia="Times New Roman" w:hAnsi="Arial" w:cs="Arial"/>
          <w:color w:val="000000"/>
          <w:sz w:val="24"/>
          <w:szCs w:val="24"/>
          <w:lang w:eastAsia="pt-PT"/>
        </w:rPr>
        <w:t xml:space="preserve"> </w:t>
      </w:r>
    </w:p>
    <w:p w14:paraId="6F2F7FB3" w14:textId="1230687C" w:rsidR="0072119F" w:rsidRDefault="008A414A"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8A414A">
        <w:rPr>
          <w:rFonts w:ascii="Arial" w:eastAsia="Times New Roman" w:hAnsi="Arial" w:cs="Arial"/>
          <w:color w:val="000000"/>
          <w:sz w:val="24"/>
          <w:szCs w:val="24"/>
          <w:lang w:eastAsia="pt-PT"/>
        </w:rPr>
        <w:t>A racionalidade da função de segurança do Estado assenta</w:t>
      </w:r>
      <w:r w:rsidR="002347F5">
        <w:rPr>
          <w:rFonts w:ascii="Arial" w:eastAsia="Times New Roman" w:hAnsi="Arial" w:cs="Arial"/>
          <w:color w:val="000000"/>
          <w:sz w:val="24"/>
          <w:szCs w:val="24"/>
          <w:lang w:eastAsia="pt-PT"/>
        </w:rPr>
        <w:t xml:space="preserve"> </w:t>
      </w:r>
      <w:r w:rsidRPr="008A414A">
        <w:rPr>
          <w:rFonts w:ascii="Arial" w:eastAsia="Times New Roman" w:hAnsi="Arial" w:cs="Arial"/>
          <w:color w:val="000000"/>
          <w:sz w:val="24"/>
          <w:szCs w:val="24"/>
          <w:lang w:eastAsia="pt-PT"/>
        </w:rPr>
        <w:t xml:space="preserve">na garantia da ordem, da soberania e da coesão social. Todavia, essa racionalidade não é neutra nem absoluta, uma vez que a securitização de determinados fenómenos implica escolhas políticas suscetíveis de afetar direitos e liberdades. Assim, a segurança afirma-se como uma função essencial do Estado, mas simultaneamente como um domínio de tensão no Estado de Direito Democrático, impondo que o exercício do poder securitário seja permanentemente enquadrado e limitado por princípios jurídicos, questão que será </w:t>
      </w:r>
      <w:r w:rsidR="00F307AD">
        <w:rPr>
          <w:rFonts w:ascii="Arial" w:eastAsia="Times New Roman" w:hAnsi="Arial" w:cs="Arial"/>
          <w:color w:val="000000"/>
          <w:sz w:val="24"/>
          <w:szCs w:val="24"/>
          <w:lang w:eastAsia="pt-PT"/>
        </w:rPr>
        <w:t xml:space="preserve">adiante </w:t>
      </w:r>
      <w:r w:rsidRPr="008A414A">
        <w:rPr>
          <w:rFonts w:ascii="Arial" w:eastAsia="Times New Roman" w:hAnsi="Arial" w:cs="Arial"/>
          <w:color w:val="000000"/>
          <w:sz w:val="24"/>
          <w:szCs w:val="24"/>
          <w:lang w:eastAsia="pt-PT"/>
        </w:rPr>
        <w:t>desenvolvida no enquadramento constitucional e legal da segurança interna.</w:t>
      </w:r>
    </w:p>
    <w:p w14:paraId="124F5253" w14:textId="77777777" w:rsidR="008A414A" w:rsidRDefault="008A414A" w:rsidP="008A414A">
      <w:pPr>
        <w:widowControl/>
        <w:autoSpaceDE/>
        <w:autoSpaceDN/>
        <w:spacing w:line="360" w:lineRule="auto"/>
        <w:jc w:val="both"/>
        <w:rPr>
          <w:rFonts w:ascii="Arial" w:eastAsia="Times New Roman" w:hAnsi="Arial" w:cs="Arial"/>
          <w:color w:val="000000"/>
          <w:sz w:val="24"/>
          <w:szCs w:val="24"/>
          <w:lang w:eastAsia="pt-PT"/>
        </w:rPr>
      </w:pPr>
    </w:p>
    <w:p w14:paraId="7D4C6570" w14:textId="4FD3A3F3" w:rsidR="0072119F" w:rsidRPr="00EE587B" w:rsidRDefault="0072119F" w:rsidP="00EE587B">
      <w:pPr>
        <w:pStyle w:val="PargrafodaLista"/>
        <w:widowControl/>
        <w:numPr>
          <w:ilvl w:val="1"/>
          <w:numId w:val="45"/>
        </w:numPr>
        <w:autoSpaceDE/>
        <w:autoSpaceDN/>
        <w:spacing w:line="360" w:lineRule="auto"/>
        <w:jc w:val="both"/>
        <w:rPr>
          <w:rFonts w:ascii="Arial" w:eastAsia="Times New Roman" w:hAnsi="Arial" w:cs="Arial"/>
          <w:b/>
          <w:bCs/>
          <w:color w:val="000000"/>
          <w:sz w:val="24"/>
          <w:szCs w:val="24"/>
          <w:lang w:eastAsia="pt-PT"/>
        </w:rPr>
      </w:pPr>
      <w:r w:rsidRPr="00EE587B">
        <w:rPr>
          <w:rFonts w:ascii="Arial" w:eastAsia="Times New Roman" w:hAnsi="Arial" w:cs="Arial"/>
          <w:b/>
          <w:bCs/>
          <w:color w:val="000000"/>
          <w:sz w:val="24"/>
          <w:szCs w:val="24"/>
          <w:lang w:eastAsia="pt-PT"/>
        </w:rPr>
        <w:t xml:space="preserve"> Enquadramento constitucional da função de segurança do Estado</w:t>
      </w:r>
    </w:p>
    <w:p w14:paraId="667D9F1C" w14:textId="1FA2549B" w:rsidR="006E5064" w:rsidRDefault="00F10B9E"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F10B9E">
        <w:rPr>
          <w:rFonts w:ascii="Arial" w:eastAsia="Times New Roman" w:hAnsi="Arial" w:cs="Arial"/>
          <w:color w:val="000000"/>
          <w:sz w:val="24"/>
          <w:szCs w:val="24"/>
          <w:lang w:eastAsia="pt-PT"/>
        </w:rPr>
        <w:t xml:space="preserve">O marco constitucional português, </w:t>
      </w:r>
      <w:r w:rsidR="00D726D3">
        <w:rPr>
          <w:rFonts w:ascii="Arial" w:eastAsia="Times New Roman" w:hAnsi="Arial" w:cs="Arial"/>
          <w:color w:val="000000"/>
          <w:sz w:val="24"/>
          <w:szCs w:val="24"/>
          <w:lang w:eastAsia="pt-PT"/>
        </w:rPr>
        <w:t xml:space="preserve">em particular </w:t>
      </w:r>
      <w:r w:rsidRPr="00F10B9E">
        <w:rPr>
          <w:rFonts w:ascii="Arial" w:eastAsia="Times New Roman" w:hAnsi="Arial" w:cs="Arial"/>
          <w:color w:val="000000"/>
          <w:sz w:val="24"/>
          <w:szCs w:val="24"/>
          <w:lang w:eastAsia="pt-PT"/>
        </w:rPr>
        <w:t xml:space="preserve">quando falamos dos princípios gerais, garantias e dos limites de atuação do Estado, é caracterizado por uma abordagem convergente </w:t>
      </w:r>
      <w:r w:rsidR="001A7C28">
        <w:rPr>
          <w:rFonts w:ascii="Arial" w:eastAsia="Times New Roman" w:hAnsi="Arial" w:cs="Arial"/>
          <w:color w:val="000000"/>
          <w:sz w:val="24"/>
          <w:szCs w:val="24"/>
          <w:lang w:eastAsia="pt-PT"/>
        </w:rPr>
        <w:t>entre a</w:t>
      </w:r>
      <w:r w:rsidR="00A74081">
        <w:rPr>
          <w:rFonts w:ascii="Arial" w:eastAsia="Times New Roman" w:hAnsi="Arial" w:cs="Arial"/>
          <w:color w:val="000000"/>
          <w:sz w:val="24"/>
          <w:szCs w:val="24"/>
          <w:lang w:eastAsia="pt-PT"/>
        </w:rPr>
        <w:t xml:space="preserve"> Constituição da República Portuguesa (CRP)</w:t>
      </w:r>
      <w:r w:rsidRPr="00F10B9E">
        <w:rPr>
          <w:rFonts w:ascii="Arial" w:eastAsia="Times New Roman" w:hAnsi="Arial" w:cs="Arial"/>
          <w:color w:val="000000"/>
          <w:sz w:val="24"/>
          <w:szCs w:val="24"/>
          <w:lang w:eastAsia="pt-PT"/>
        </w:rPr>
        <w:t xml:space="preserve"> e </w:t>
      </w:r>
      <w:r w:rsidR="001A7C28">
        <w:rPr>
          <w:rFonts w:ascii="Arial" w:eastAsia="Times New Roman" w:hAnsi="Arial" w:cs="Arial"/>
          <w:color w:val="000000"/>
          <w:sz w:val="24"/>
          <w:szCs w:val="24"/>
          <w:lang w:eastAsia="pt-PT"/>
        </w:rPr>
        <w:t xml:space="preserve">a perspetiva </w:t>
      </w:r>
      <w:r w:rsidRPr="00F10B9E">
        <w:rPr>
          <w:rFonts w:ascii="Arial" w:eastAsia="Times New Roman" w:hAnsi="Arial" w:cs="Arial"/>
          <w:color w:val="000000"/>
          <w:sz w:val="24"/>
          <w:szCs w:val="24"/>
          <w:lang w:eastAsia="pt-PT"/>
        </w:rPr>
        <w:t>de Zedner</w:t>
      </w:r>
      <w:r w:rsidR="00940484">
        <w:rPr>
          <w:rFonts w:ascii="Arial" w:eastAsia="Times New Roman" w:hAnsi="Arial" w:cs="Arial"/>
          <w:color w:val="000000"/>
          <w:sz w:val="24"/>
          <w:szCs w:val="24"/>
          <w:lang w:eastAsia="pt-PT"/>
        </w:rPr>
        <w:t xml:space="preserve"> </w:t>
      </w:r>
      <w:r w:rsidR="002C3B8D">
        <w:rPr>
          <w:rFonts w:ascii="Arial" w:eastAsia="Times New Roman" w:hAnsi="Arial" w:cs="Arial"/>
          <w:color w:val="000000"/>
          <w:sz w:val="24"/>
          <w:szCs w:val="24"/>
          <w:lang w:eastAsia="pt-PT"/>
        </w:rPr>
        <w:t>(</w:t>
      </w:r>
      <w:r w:rsidRPr="00F10B9E">
        <w:rPr>
          <w:rFonts w:ascii="Arial" w:eastAsia="Times New Roman" w:hAnsi="Arial" w:cs="Arial"/>
          <w:color w:val="000000"/>
          <w:sz w:val="24"/>
          <w:szCs w:val="24"/>
          <w:lang w:eastAsia="pt-PT"/>
        </w:rPr>
        <w:t>2003) relativamente à preocupação com os possíveis riscos de instrumentalização do discurso securitário para sustentar restrições excessivas de direitos. Defendem, nesse sentido, medidas de segurança que respeitem os limites materiais e a não normalização da exceção, ou seja, exigem proporcionalidade e necessidade, duas características exigidas explicitamente na CRP e implicitamente em Zedner</w:t>
      </w:r>
      <w:r w:rsidR="00940484">
        <w:rPr>
          <w:rFonts w:ascii="Arial" w:eastAsia="Times New Roman" w:hAnsi="Arial" w:cs="Arial"/>
          <w:color w:val="000000"/>
          <w:sz w:val="24"/>
          <w:szCs w:val="24"/>
          <w:lang w:eastAsia="pt-PT"/>
        </w:rPr>
        <w:t xml:space="preserve"> </w:t>
      </w:r>
      <w:r w:rsidR="002C3B8D">
        <w:rPr>
          <w:rFonts w:ascii="Arial" w:eastAsia="Times New Roman" w:hAnsi="Arial" w:cs="Arial"/>
          <w:color w:val="000000"/>
          <w:sz w:val="24"/>
          <w:szCs w:val="24"/>
          <w:lang w:eastAsia="pt-PT"/>
        </w:rPr>
        <w:t>(</w:t>
      </w:r>
      <w:r w:rsidR="00940484">
        <w:rPr>
          <w:rFonts w:ascii="Arial" w:eastAsia="Times New Roman" w:hAnsi="Arial" w:cs="Arial"/>
          <w:color w:val="000000"/>
          <w:sz w:val="24"/>
          <w:szCs w:val="24"/>
          <w:lang w:eastAsia="pt-PT"/>
        </w:rPr>
        <w:t>2</w:t>
      </w:r>
      <w:r w:rsidRPr="00F10B9E">
        <w:rPr>
          <w:rFonts w:ascii="Arial" w:eastAsia="Times New Roman" w:hAnsi="Arial" w:cs="Arial"/>
          <w:color w:val="000000"/>
          <w:sz w:val="24"/>
          <w:szCs w:val="24"/>
          <w:lang w:eastAsia="pt-PT"/>
        </w:rPr>
        <w:t xml:space="preserve">003). A CRP estabelece um quadro jurídico fechado e vinculativo </w:t>
      </w:r>
      <w:r w:rsidR="00775CEF">
        <w:rPr>
          <w:rFonts w:ascii="Arial" w:eastAsia="Times New Roman" w:hAnsi="Arial" w:cs="Arial"/>
          <w:color w:val="000000"/>
          <w:sz w:val="24"/>
          <w:szCs w:val="24"/>
          <w:lang w:eastAsia="pt-PT"/>
        </w:rPr>
        <w:t xml:space="preserve">e isso preconizam </w:t>
      </w:r>
      <w:r w:rsidRPr="00F10B9E">
        <w:rPr>
          <w:rFonts w:ascii="Arial" w:eastAsia="Times New Roman" w:hAnsi="Arial" w:cs="Arial"/>
          <w:color w:val="000000"/>
          <w:sz w:val="24"/>
          <w:szCs w:val="24"/>
          <w:lang w:eastAsia="pt-PT"/>
        </w:rPr>
        <w:t>os</w:t>
      </w:r>
      <w:r w:rsidR="00775CEF">
        <w:rPr>
          <w:rFonts w:ascii="Arial" w:eastAsia="Times New Roman" w:hAnsi="Arial" w:cs="Arial"/>
          <w:color w:val="000000"/>
          <w:sz w:val="24"/>
          <w:szCs w:val="24"/>
          <w:lang w:eastAsia="pt-PT"/>
        </w:rPr>
        <w:t xml:space="preserve"> </w:t>
      </w:r>
      <w:r w:rsidRPr="00F10B9E">
        <w:rPr>
          <w:rFonts w:ascii="Arial" w:eastAsia="Times New Roman" w:hAnsi="Arial" w:cs="Arial"/>
          <w:color w:val="000000"/>
          <w:sz w:val="24"/>
          <w:szCs w:val="24"/>
          <w:lang w:eastAsia="pt-PT"/>
        </w:rPr>
        <w:t>artigos 18º, 27º e 34º</w:t>
      </w:r>
      <w:r w:rsidR="00775CEF">
        <w:rPr>
          <w:rFonts w:ascii="Arial" w:eastAsia="Times New Roman" w:hAnsi="Arial" w:cs="Arial"/>
          <w:color w:val="000000"/>
          <w:sz w:val="24"/>
          <w:szCs w:val="24"/>
          <w:lang w:eastAsia="pt-PT"/>
        </w:rPr>
        <w:t>,</w:t>
      </w:r>
      <w:r w:rsidRPr="00F10B9E">
        <w:rPr>
          <w:rFonts w:ascii="Arial" w:eastAsia="Times New Roman" w:hAnsi="Arial" w:cs="Arial"/>
          <w:color w:val="000000"/>
          <w:sz w:val="24"/>
          <w:szCs w:val="24"/>
          <w:lang w:eastAsia="pt-PT"/>
        </w:rPr>
        <w:t xml:space="preserve"> estabelece</w:t>
      </w:r>
      <w:r w:rsidR="00775CEF">
        <w:rPr>
          <w:rFonts w:ascii="Arial" w:eastAsia="Times New Roman" w:hAnsi="Arial" w:cs="Arial"/>
          <w:color w:val="000000"/>
          <w:sz w:val="24"/>
          <w:szCs w:val="24"/>
          <w:lang w:eastAsia="pt-PT"/>
        </w:rPr>
        <w:t>ndo</w:t>
      </w:r>
      <w:r w:rsidRPr="00F10B9E">
        <w:rPr>
          <w:rFonts w:ascii="Arial" w:eastAsia="Times New Roman" w:hAnsi="Arial" w:cs="Arial"/>
          <w:color w:val="000000"/>
          <w:sz w:val="24"/>
          <w:szCs w:val="24"/>
          <w:lang w:eastAsia="pt-PT"/>
        </w:rPr>
        <w:t xml:space="preserve"> claramente as condições de restrição, suspensão e garantia dos direitos fundamentais, ou seja, distingue de forma explícita situações de normalidade cons</w:t>
      </w:r>
      <w:r w:rsidR="00775CEF">
        <w:rPr>
          <w:rFonts w:ascii="Arial" w:eastAsia="Times New Roman" w:hAnsi="Arial" w:cs="Arial"/>
          <w:color w:val="000000"/>
          <w:sz w:val="24"/>
          <w:szCs w:val="24"/>
          <w:lang w:eastAsia="pt-PT"/>
        </w:rPr>
        <w:t>titucional e estados de exceção. Por outro lado,</w:t>
      </w:r>
      <w:r w:rsidRPr="00F10B9E">
        <w:rPr>
          <w:rFonts w:ascii="Arial" w:eastAsia="Times New Roman" w:hAnsi="Arial" w:cs="Arial"/>
          <w:color w:val="000000"/>
          <w:sz w:val="24"/>
          <w:szCs w:val="24"/>
          <w:lang w:eastAsia="pt-PT"/>
        </w:rPr>
        <w:t xml:space="preserve"> Zedner</w:t>
      </w:r>
      <w:r w:rsidR="00940484">
        <w:rPr>
          <w:rFonts w:ascii="Arial" w:eastAsia="Times New Roman" w:hAnsi="Arial" w:cs="Arial"/>
          <w:color w:val="000000"/>
          <w:sz w:val="24"/>
          <w:szCs w:val="24"/>
          <w:lang w:eastAsia="pt-PT"/>
        </w:rPr>
        <w:t xml:space="preserve"> </w:t>
      </w:r>
      <w:r w:rsidR="002C3B8D">
        <w:rPr>
          <w:rFonts w:ascii="Arial" w:eastAsia="Times New Roman" w:hAnsi="Arial" w:cs="Arial"/>
          <w:color w:val="000000"/>
          <w:sz w:val="24"/>
          <w:szCs w:val="24"/>
          <w:lang w:eastAsia="pt-PT"/>
        </w:rPr>
        <w:t>(</w:t>
      </w:r>
      <w:r w:rsidRPr="00F10B9E">
        <w:rPr>
          <w:rFonts w:ascii="Arial" w:eastAsia="Times New Roman" w:hAnsi="Arial" w:cs="Arial"/>
          <w:color w:val="000000"/>
          <w:sz w:val="24"/>
          <w:szCs w:val="24"/>
          <w:lang w:eastAsia="pt-PT"/>
        </w:rPr>
        <w:t xml:space="preserve">2003) alerta para </w:t>
      </w:r>
      <w:r w:rsidR="00775CEF">
        <w:rPr>
          <w:rFonts w:ascii="Arial" w:eastAsia="Times New Roman" w:hAnsi="Arial" w:cs="Arial"/>
          <w:color w:val="000000"/>
          <w:sz w:val="24"/>
          <w:szCs w:val="24"/>
          <w:lang w:eastAsia="pt-PT"/>
        </w:rPr>
        <w:t xml:space="preserve">a perigosidade na banalização, por ser cada vez </w:t>
      </w:r>
      <w:r w:rsidRPr="00F10B9E">
        <w:rPr>
          <w:rFonts w:ascii="Arial" w:eastAsia="Times New Roman" w:hAnsi="Arial" w:cs="Arial"/>
          <w:color w:val="000000"/>
          <w:sz w:val="24"/>
          <w:szCs w:val="24"/>
          <w:lang w:eastAsia="pt-PT"/>
        </w:rPr>
        <w:t>maior tendência contemporânea</w:t>
      </w:r>
      <w:r w:rsidR="00775CEF">
        <w:rPr>
          <w:rFonts w:ascii="Arial" w:eastAsia="Times New Roman" w:hAnsi="Arial" w:cs="Arial"/>
          <w:color w:val="000000"/>
          <w:sz w:val="24"/>
          <w:szCs w:val="24"/>
          <w:lang w:eastAsia="pt-PT"/>
        </w:rPr>
        <w:t>, d</w:t>
      </w:r>
      <w:r w:rsidRPr="00F10B9E">
        <w:rPr>
          <w:rFonts w:ascii="Arial" w:eastAsia="Times New Roman" w:hAnsi="Arial" w:cs="Arial"/>
          <w:color w:val="000000"/>
          <w:sz w:val="24"/>
          <w:szCs w:val="24"/>
          <w:lang w:eastAsia="pt-PT"/>
        </w:rPr>
        <w:t>o que deveria ser excecional. Foucault</w:t>
      </w:r>
      <w:r w:rsidR="00940484">
        <w:rPr>
          <w:rFonts w:ascii="Arial" w:eastAsia="Times New Roman" w:hAnsi="Arial" w:cs="Arial"/>
          <w:color w:val="000000"/>
          <w:sz w:val="24"/>
          <w:szCs w:val="24"/>
          <w:lang w:eastAsia="pt-PT"/>
        </w:rPr>
        <w:t xml:space="preserve"> </w:t>
      </w:r>
      <w:r w:rsidR="002C3B8D">
        <w:rPr>
          <w:rFonts w:ascii="Arial" w:eastAsia="Times New Roman" w:hAnsi="Arial" w:cs="Arial"/>
          <w:color w:val="000000"/>
          <w:sz w:val="24"/>
          <w:szCs w:val="24"/>
          <w:lang w:eastAsia="pt-PT"/>
        </w:rPr>
        <w:t>(</w:t>
      </w:r>
      <w:r w:rsidR="00940484">
        <w:rPr>
          <w:rFonts w:ascii="Arial" w:eastAsia="Times New Roman" w:hAnsi="Arial" w:cs="Arial"/>
          <w:color w:val="000000"/>
          <w:sz w:val="24"/>
          <w:szCs w:val="24"/>
          <w:lang w:eastAsia="pt-PT"/>
        </w:rPr>
        <w:t>200</w:t>
      </w:r>
      <w:r w:rsidRPr="00F10B9E">
        <w:rPr>
          <w:rFonts w:ascii="Arial" w:eastAsia="Times New Roman" w:hAnsi="Arial" w:cs="Arial"/>
          <w:color w:val="000000"/>
          <w:sz w:val="24"/>
          <w:szCs w:val="24"/>
          <w:lang w:eastAsia="pt-PT"/>
        </w:rPr>
        <w:t>8), por sua vez, analisa as práticas históricas de poder e os efeitos sociais destas, pelo que não opera num plano normativo-constitucional.</w:t>
      </w:r>
    </w:p>
    <w:p w14:paraId="34F0CE3A" w14:textId="77777777" w:rsidR="00653D10" w:rsidRDefault="00653D10" w:rsidP="00BF1063">
      <w:pPr>
        <w:widowControl/>
        <w:autoSpaceDE/>
        <w:autoSpaceDN/>
        <w:spacing w:line="360" w:lineRule="auto"/>
        <w:jc w:val="both"/>
        <w:rPr>
          <w:rFonts w:ascii="Arial" w:eastAsia="Times New Roman" w:hAnsi="Arial" w:cs="Arial"/>
          <w:b/>
          <w:bCs/>
          <w:color w:val="000000"/>
          <w:sz w:val="24"/>
          <w:szCs w:val="24"/>
          <w:lang w:eastAsia="pt-PT"/>
        </w:rPr>
      </w:pPr>
    </w:p>
    <w:p w14:paraId="6A34FBBE" w14:textId="77777777" w:rsidR="00EE587B" w:rsidRDefault="00EE587B" w:rsidP="00BF1063">
      <w:pPr>
        <w:widowControl/>
        <w:autoSpaceDE/>
        <w:autoSpaceDN/>
        <w:spacing w:line="360" w:lineRule="auto"/>
        <w:jc w:val="both"/>
        <w:rPr>
          <w:rFonts w:ascii="Arial" w:eastAsia="Times New Roman" w:hAnsi="Arial" w:cs="Arial"/>
          <w:b/>
          <w:bCs/>
          <w:color w:val="000000"/>
          <w:sz w:val="24"/>
          <w:szCs w:val="24"/>
          <w:lang w:eastAsia="pt-PT"/>
        </w:rPr>
      </w:pPr>
    </w:p>
    <w:p w14:paraId="5454C023" w14:textId="0DD1BE35" w:rsidR="0072119F" w:rsidRPr="00EE587B" w:rsidRDefault="0072119F" w:rsidP="00EE587B">
      <w:pPr>
        <w:pStyle w:val="PargrafodaLista"/>
        <w:widowControl/>
        <w:numPr>
          <w:ilvl w:val="1"/>
          <w:numId w:val="45"/>
        </w:numPr>
        <w:autoSpaceDE/>
        <w:autoSpaceDN/>
        <w:spacing w:line="360" w:lineRule="auto"/>
        <w:jc w:val="both"/>
        <w:rPr>
          <w:rFonts w:ascii="Arial" w:eastAsia="Times New Roman" w:hAnsi="Arial" w:cs="Arial"/>
          <w:b/>
          <w:bCs/>
          <w:color w:val="000000"/>
          <w:sz w:val="24"/>
          <w:szCs w:val="24"/>
          <w:lang w:eastAsia="pt-PT"/>
        </w:rPr>
      </w:pPr>
      <w:r w:rsidRPr="00EE587B">
        <w:rPr>
          <w:rFonts w:ascii="Arial" w:eastAsia="Times New Roman" w:hAnsi="Arial" w:cs="Arial"/>
          <w:b/>
          <w:bCs/>
          <w:color w:val="000000"/>
          <w:sz w:val="24"/>
          <w:szCs w:val="24"/>
          <w:lang w:eastAsia="pt-PT"/>
        </w:rPr>
        <w:lastRenderedPageBreak/>
        <w:t xml:space="preserve"> O sistema de segurança interna e os desafios contemporâneos </w:t>
      </w:r>
    </w:p>
    <w:p w14:paraId="4EE65411" w14:textId="29FB8835" w:rsidR="00A71974" w:rsidRDefault="00A71974"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A71974">
        <w:rPr>
          <w:rFonts w:ascii="Arial" w:eastAsia="Times New Roman" w:hAnsi="Arial" w:cs="Arial"/>
          <w:color w:val="000000"/>
          <w:sz w:val="24"/>
          <w:szCs w:val="24"/>
          <w:lang w:eastAsia="pt-PT"/>
        </w:rPr>
        <w:t>A legislação estruturante do Sistema de Segurança Interna, pela sua relevância para a função de segurança do Estado, é a Lei n.º 53/2008, de 29 de agosto (Lei de Segurança Interna – LSI). Este diploma consagra a centralidade da organização e da coordenação institucional dos instrumentos de segurança, aspeto que encontra ressonância nas análises de Foucault</w:t>
      </w:r>
      <w:r w:rsidR="0094048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00940484">
        <w:rPr>
          <w:rFonts w:ascii="Arial" w:eastAsia="Times New Roman" w:hAnsi="Arial" w:cs="Arial"/>
          <w:color w:val="000000"/>
          <w:sz w:val="24"/>
          <w:szCs w:val="24"/>
          <w:lang w:eastAsia="pt-PT"/>
        </w:rPr>
        <w:t>2008</w:t>
      </w:r>
      <w:r w:rsidRPr="00A71974">
        <w:rPr>
          <w:rFonts w:ascii="Arial" w:eastAsia="Times New Roman" w:hAnsi="Arial" w:cs="Arial"/>
          <w:color w:val="000000"/>
          <w:sz w:val="24"/>
          <w:szCs w:val="24"/>
          <w:lang w:eastAsia="pt-PT"/>
        </w:rPr>
        <w:t>), ao identificar a segurança como uma racionalidade de governação orientada para a gestão de riscos, probabilidades e dinâmicas populacionais.</w:t>
      </w:r>
      <w:r w:rsidR="00CC6D4D" w:rsidRPr="00CC6D4D">
        <w:rPr>
          <w:rFonts w:ascii="Arial" w:eastAsia="Times New Roman" w:hAnsi="Arial" w:cs="Arial"/>
          <w:color w:val="000000"/>
          <w:sz w:val="24"/>
          <w:szCs w:val="24"/>
          <w:lang w:eastAsia="pt-PT"/>
        </w:rPr>
        <w:t xml:space="preserve"> </w:t>
      </w:r>
      <w:r w:rsidRPr="00A71974">
        <w:rPr>
          <w:rFonts w:ascii="Arial" w:eastAsia="Times New Roman" w:hAnsi="Arial" w:cs="Arial"/>
          <w:color w:val="000000"/>
          <w:sz w:val="24"/>
          <w:szCs w:val="24"/>
          <w:lang w:eastAsia="pt-PT"/>
        </w:rPr>
        <w:t>A LSI converge igualmente com Zedner</w:t>
      </w:r>
      <w:r w:rsidR="0094048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A71974">
        <w:rPr>
          <w:rFonts w:ascii="Arial" w:eastAsia="Times New Roman" w:hAnsi="Arial" w:cs="Arial"/>
          <w:color w:val="000000"/>
          <w:sz w:val="24"/>
          <w:szCs w:val="24"/>
          <w:lang w:eastAsia="pt-PT"/>
        </w:rPr>
        <w:t>2003) ao reconhecer a existência de uma pluralidade de atores no campo da segurança, incluindo a crescente interação e tensão entre os setores público e privado. Tanto o normativo como a doutrina referida reconhecem, assim, a segurança como um domínio institucional complexo, cuja eficácia depende de mecanismos de articulação, cooperação interinstitucional e governação integrada.</w:t>
      </w:r>
      <w:r>
        <w:rPr>
          <w:rFonts w:ascii="Arial" w:eastAsia="Times New Roman" w:hAnsi="Arial" w:cs="Arial"/>
          <w:color w:val="000000"/>
          <w:sz w:val="24"/>
          <w:szCs w:val="24"/>
          <w:lang w:eastAsia="pt-PT"/>
        </w:rPr>
        <w:t xml:space="preserve"> </w:t>
      </w:r>
    </w:p>
    <w:p w14:paraId="57BFC8AB" w14:textId="35DDD510" w:rsidR="00A71974" w:rsidRPr="00A71974" w:rsidRDefault="00A71974"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A71974">
        <w:rPr>
          <w:rFonts w:ascii="Arial" w:eastAsia="Times New Roman" w:hAnsi="Arial" w:cs="Arial"/>
          <w:color w:val="000000"/>
          <w:sz w:val="24"/>
          <w:szCs w:val="24"/>
          <w:lang w:eastAsia="pt-PT"/>
        </w:rPr>
        <w:t>Não obstante estas convergências, subsistem diferenças relevantes entre a perspetiva normativa e as abordagens teóricas. Zedner</w:t>
      </w:r>
      <w:r w:rsidR="0094048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A71974">
        <w:rPr>
          <w:rFonts w:ascii="Arial" w:eastAsia="Times New Roman" w:hAnsi="Arial" w:cs="Arial"/>
          <w:color w:val="000000"/>
          <w:sz w:val="24"/>
          <w:szCs w:val="24"/>
          <w:lang w:eastAsia="pt-PT"/>
        </w:rPr>
        <w:t>2003) centra a sua análise na fragmentação progressiva do monopólio estatal da segurança, destacando a expansão da segurança privada e a mercantilização da segurança enquanto bem de consumo. Foucault</w:t>
      </w:r>
      <w:r w:rsidR="0094048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00940484">
        <w:rPr>
          <w:rFonts w:ascii="Arial" w:eastAsia="Times New Roman" w:hAnsi="Arial" w:cs="Arial"/>
          <w:color w:val="000000"/>
          <w:sz w:val="24"/>
          <w:szCs w:val="24"/>
          <w:lang w:eastAsia="pt-PT"/>
        </w:rPr>
        <w:t>2008</w:t>
      </w:r>
      <w:r w:rsidRPr="00A71974">
        <w:rPr>
          <w:rFonts w:ascii="Arial" w:eastAsia="Times New Roman" w:hAnsi="Arial" w:cs="Arial"/>
          <w:color w:val="000000"/>
          <w:sz w:val="24"/>
          <w:szCs w:val="24"/>
          <w:lang w:eastAsia="pt-PT"/>
        </w:rPr>
        <w:t>), por seu turno, analisa a polícia não como força de segurança no sentido contemporâneo, mas como um conceito histórico abrangente, associado à administração global da vida social e à regulação das populações. Em contraste, a Lei n.º 53/2008 consagra um modelo formal de governação da segurança interna, assente na coordenação política centralizada, na delimitação clara de competências e na definição de mecanismos operacionais institucionalizados.</w:t>
      </w:r>
    </w:p>
    <w:p w14:paraId="78AC2B74" w14:textId="35E44DB0" w:rsidR="00BC680B" w:rsidRPr="00BC680B" w:rsidRDefault="00BC680B"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BC680B">
        <w:rPr>
          <w:rFonts w:ascii="Arial" w:eastAsia="Times New Roman" w:hAnsi="Arial" w:cs="Arial"/>
          <w:color w:val="000000"/>
          <w:sz w:val="24"/>
          <w:szCs w:val="24"/>
          <w:lang w:eastAsia="pt-PT"/>
        </w:rPr>
        <w:t>A transformação das ameaças à segurança tem conduzido a uma reconfiguração do paradigma securitário, marcada pela emergência de riscos difusos, transnacionais e não exclusivamente militares. Neste contexto, Foucault</w:t>
      </w:r>
      <w:r w:rsidR="0094048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00940484">
        <w:rPr>
          <w:rFonts w:ascii="Arial" w:eastAsia="Times New Roman" w:hAnsi="Arial" w:cs="Arial"/>
          <w:color w:val="000000"/>
          <w:sz w:val="24"/>
          <w:szCs w:val="24"/>
          <w:lang w:eastAsia="pt-PT"/>
        </w:rPr>
        <w:t>2008</w:t>
      </w:r>
      <w:r w:rsidRPr="00BC680B">
        <w:rPr>
          <w:rFonts w:ascii="Arial" w:eastAsia="Times New Roman" w:hAnsi="Arial" w:cs="Arial"/>
          <w:color w:val="000000"/>
          <w:sz w:val="24"/>
          <w:szCs w:val="24"/>
          <w:lang w:eastAsia="pt-PT"/>
        </w:rPr>
        <w:t xml:space="preserve">) interpreta os desafios contemporâneos à luz do conceito de biopoder, enfatizando a gestão da vida e das dinâmicas populacionais, enquanto Zedner (2003) sublinha a securitização da vida quotidiana e a transformação da segurança num objeto de consumo. A LSI responde a este novo contexto através da tipificação concreta das ameaças, como o terrorismo ou a criminalidade </w:t>
      </w:r>
      <w:r w:rsidRPr="00BC680B">
        <w:rPr>
          <w:rFonts w:ascii="Arial" w:eastAsia="Times New Roman" w:hAnsi="Arial" w:cs="Arial"/>
          <w:color w:val="000000"/>
          <w:sz w:val="24"/>
          <w:szCs w:val="24"/>
          <w:lang w:eastAsia="pt-PT"/>
        </w:rPr>
        <w:lastRenderedPageBreak/>
        <w:t>organizada, e da previsão de respostas operacionais integradas, mantendo-se, contudo, estritamente enquadrada pelos limites constitucionais.</w:t>
      </w:r>
    </w:p>
    <w:p w14:paraId="3EF0AC5E" w14:textId="1881774E" w:rsidR="00BC680B" w:rsidRPr="00BC680B" w:rsidRDefault="00CC6D4D"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BC680B">
        <w:rPr>
          <w:rFonts w:ascii="Arial" w:eastAsia="Times New Roman" w:hAnsi="Arial" w:cs="Arial"/>
          <w:color w:val="000000"/>
          <w:sz w:val="24"/>
          <w:szCs w:val="24"/>
          <w:lang w:eastAsia="pt-PT"/>
        </w:rPr>
        <w:t>A CRP, neste quadro, mantém uma conduta de contenção jurídico-constitucional</w:t>
      </w:r>
      <w:r w:rsidR="00BC680B" w:rsidRPr="00BC680B">
        <w:rPr>
          <w:rFonts w:ascii="Arial" w:eastAsia="Times New Roman" w:hAnsi="Arial" w:cs="Arial"/>
          <w:color w:val="000000"/>
          <w:sz w:val="24"/>
          <w:szCs w:val="24"/>
          <w:lang w:eastAsia="pt-PT"/>
        </w:rPr>
        <w:t xml:space="preserve">, admitindo restrições ou </w:t>
      </w:r>
      <w:r w:rsidR="00D726D3" w:rsidRPr="00BC680B">
        <w:rPr>
          <w:rFonts w:ascii="Arial" w:eastAsia="Times New Roman" w:hAnsi="Arial" w:cs="Arial"/>
          <w:color w:val="000000"/>
          <w:sz w:val="24"/>
          <w:szCs w:val="24"/>
          <w:lang w:eastAsia="pt-PT"/>
        </w:rPr>
        <w:t xml:space="preserve">exceções apenas nos termos legais </w:t>
      </w:r>
      <w:r w:rsidR="00BC680B" w:rsidRPr="00BC680B">
        <w:rPr>
          <w:rFonts w:ascii="Arial" w:eastAsia="Times New Roman" w:hAnsi="Arial" w:cs="Arial"/>
          <w:color w:val="000000"/>
          <w:sz w:val="24"/>
          <w:szCs w:val="24"/>
          <w:lang w:eastAsia="pt-PT"/>
        </w:rPr>
        <w:t xml:space="preserve">previstos, </w:t>
      </w:r>
      <w:r w:rsidR="00D726D3" w:rsidRPr="00BC680B">
        <w:rPr>
          <w:rFonts w:ascii="Arial" w:eastAsia="Times New Roman" w:hAnsi="Arial" w:cs="Arial"/>
          <w:color w:val="000000"/>
          <w:sz w:val="24"/>
          <w:szCs w:val="24"/>
          <w:lang w:eastAsia="pt-PT"/>
        </w:rPr>
        <w:t xml:space="preserve">expressamente </w:t>
      </w:r>
      <w:r w:rsidR="00BC680B" w:rsidRPr="00BC680B">
        <w:rPr>
          <w:rFonts w:ascii="Arial" w:eastAsia="Times New Roman" w:hAnsi="Arial" w:cs="Arial"/>
          <w:color w:val="000000"/>
          <w:sz w:val="24"/>
          <w:szCs w:val="24"/>
          <w:lang w:eastAsia="pt-PT"/>
        </w:rPr>
        <w:t>fundamentados</w:t>
      </w:r>
      <w:r w:rsidR="00D726D3" w:rsidRPr="00BC680B">
        <w:rPr>
          <w:rFonts w:ascii="Arial" w:eastAsia="Times New Roman" w:hAnsi="Arial" w:cs="Arial"/>
          <w:color w:val="000000"/>
          <w:sz w:val="24"/>
          <w:szCs w:val="24"/>
          <w:lang w:eastAsia="pt-PT"/>
        </w:rPr>
        <w:t xml:space="preserve">. </w:t>
      </w:r>
      <w:r w:rsidR="00BC680B" w:rsidRPr="00BC680B">
        <w:rPr>
          <w:rFonts w:ascii="Arial" w:eastAsia="Times New Roman" w:hAnsi="Arial" w:cs="Arial"/>
          <w:color w:val="000000"/>
          <w:sz w:val="24"/>
          <w:szCs w:val="24"/>
          <w:lang w:eastAsia="pt-PT"/>
        </w:rPr>
        <w:t>Ainda assim</w:t>
      </w:r>
      <w:r w:rsidR="00AC7DAF">
        <w:rPr>
          <w:rFonts w:ascii="Arial" w:eastAsia="Times New Roman" w:hAnsi="Arial" w:cs="Arial"/>
          <w:color w:val="000000"/>
          <w:sz w:val="24"/>
          <w:szCs w:val="24"/>
          <w:lang w:eastAsia="pt-PT"/>
        </w:rPr>
        <w:t>,</w:t>
      </w:r>
      <w:r w:rsidR="00BC680B" w:rsidRPr="00BC680B">
        <w:rPr>
          <w:rFonts w:ascii="Arial" w:eastAsia="Times New Roman" w:hAnsi="Arial" w:cs="Arial"/>
          <w:color w:val="000000"/>
          <w:sz w:val="24"/>
          <w:szCs w:val="24"/>
          <w:lang w:eastAsia="pt-PT"/>
        </w:rPr>
        <w:t xml:space="preserve"> pese embora as diferenças conceptuais e metodológicas, tanto a doutrina como os instrumentos normativos convergem no reconhecimento de uma transformação estrutural das ameaças à segurança e na caracterização da sociedade contemporânea como uma sociedade de risco, marcada pela complexidade, incerteza e interdependência. Neste quadro, a prevenção assume um papel central, superando uma lógica exclusivamente repressiva. </w:t>
      </w:r>
    </w:p>
    <w:p w14:paraId="20FA465F" w14:textId="2E66FF85" w:rsidR="00C447E6" w:rsidRDefault="00CC6D4D" w:rsidP="00EE587B">
      <w:pPr>
        <w:widowControl/>
        <w:autoSpaceDE/>
        <w:autoSpaceDN/>
        <w:spacing w:line="360" w:lineRule="auto"/>
        <w:ind w:firstLine="360"/>
        <w:jc w:val="both"/>
        <w:rPr>
          <w:rFonts w:ascii="Arial" w:eastAsia="Times New Roman" w:hAnsi="Arial" w:cs="Arial"/>
          <w:color w:val="000000"/>
          <w:sz w:val="24"/>
          <w:szCs w:val="24"/>
          <w:lang w:eastAsia="pt-PT"/>
        </w:rPr>
      </w:pPr>
      <w:r w:rsidRPr="00CC6D4D">
        <w:rPr>
          <w:rFonts w:ascii="Arial" w:eastAsia="Times New Roman" w:hAnsi="Arial" w:cs="Arial"/>
          <w:color w:val="000000"/>
          <w:sz w:val="24"/>
          <w:szCs w:val="24"/>
          <w:lang w:eastAsia="pt-PT"/>
        </w:rPr>
        <w:t xml:space="preserve">Conclui-se, portanto, que o modelo de segurança interna consagrado na ordem jurídica portuguesa articula a centralidade do Estado com a necessidade de respostas preventivas e coordenadas às ameaças contemporâneas, constituindo </w:t>
      </w:r>
      <w:r w:rsidR="000064E6">
        <w:rPr>
          <w:rFonts w:ascii="Arial" w:eastAsia="Times New Roman" w:hAnsi="Arial" w:cs="Arial"/>
          <w:color w:val="000000"/>
          <w:sz w:val="24"/>
          <w:szCs w:val="24"/>
          <w:lang w:eastAsia="pt-PT"/>
        </w:rPr>
        <w:t xml:space="preserve">como </w:t>
      </w:r>
      <w:r w:rsidRPr="00CC6D4D">
        <w:rPr>
          <w:rFonts w:ascii="Arial" w:eastAsia="Times New Roman" w:hAnsi="Arial" w:cs="Arial"/>
          <w:color w:val="000000"/>
          <w:sz w:val="24"/>
          <w:szCs w:val="24"/>
          <w:lang w:eastAsia="pt-PT"/>
        </w:rPr>
        <w:t xml:space="preserve">fundamento jurídico-institucional a </w:t>
      </w:r>
      <w:r w:rsidR="000064E6" w:rsidRPr="000064E6">
        <w:rPr>
          <w:rFonts w:ascii="Arial" w:eastAsia="Times New Roman" w:hAnsi="Arial" w:cs="Arial"/>
          <w:color w:val="000000"/>
          <w:sz w:val="24"/>
          <w:szCs w:val="24"/>
          <w:lang w:eastAsia="pt-PT"/>
        </w:rPr>
        <w:t>partir do qual se compreende a emergência da segurança urbana enquanto dimensão territorial da segurança interna.</w:t>
      </w:r>
    </w:p>
    <w:p w14:paraId="2BD609C7" w14:textId="77777777" w:rsidR="000064E6" w:rsidRDefault="000064E6" w:rsidP="00BF1063">
      <w:pPr>
        <w:widowControl/>
        <w:autoSpaceDE/>
        <w:autoSpaceDN/>
        <w:spacing w:line="360" w:lineRule="auto"/>
        <w:jc w:val="both"/>
        <w:rPr>
          <w:rFonts w:ascii="Arial" w:eastAsia="Times New Roman" w:hAnsi="Arial" w:cs="Arial"/>
          <w:b/>
          <w:bCs/>
          <w:color w:val="000000"/>
          <w:sz w:val="24"/>
          <w:szCs w:val="24"/>
          <w:lang w:eastAsia="pt-PT"/>
        </w:rPr>
      </w:pPr>
    </w:p>
    <w:p w14:paraId="15B00AD1" w14:textId="3FA5F20D" w:rsidR="00BF1063" w:rsidRPr="00EE587B" w:rsidRDefault="00BF1063" w:rsidP="00EE587B">
      <w:pPr>
        <w:pStyle w:val="PargrafodaLista"/>
        <w:widowControl/>
        <w:numPr>
          <w:ilvl w:val="0"/>
          <w:numId w:val="45"/>
        </w:numPr>
        <w:autoSpaceDE/>
        <w:autoSpaceDN/>
        <w:spacing w:line="360" w:lineRule="auto"/>
        <w:rPr>
          <w:rFonts w:ascii="Arial" w:eastAsia="Times New Roman" w:hAnsi="Arial" w:cs="Arial"/>
          <w:color w:val="000000"/>
          <w:sz w:val="24"/>
          <w:szCs w:val="24"/>
          <w:lang w:eastAsia="pt-PT"/>
        </w:rPr>
      </w:pPr>
      <w:r w:rsidRPr="00EE587B">
        <w:rPr>
          <w:rFonts w:ascii="Arial" w:eastAsia="Times New Roman" w:hAnsi="Arial" w:cs="Arial"/>
          <w:b/>
          <w:bCs/>
          <w:color w:val="000000"/>
          <w:sz w:val="24"/>
          <w:szCs w:val="24"/>
          <w:lang w:eastAsia="pt-PT"/>
        </w:rPr>
        <w:t xml:space="preserve"> A segurança urbana como dimensão da segurança interna</w:t>
      </w:r>
    </w:p>
    <w:p w14:paraId="36BE04E0" w14:textId="2D484C14" w:rsidR="00591575" w:rsidRPr="00591575" w:rsidRDefault="00591575" w:rsidP="00BF1063">
      <w:pPr>
        <w:widowControl/>
        <w:autoSpaceDE/>
        <w:autoSpaceDN/>
        <w:spacing w:line="360" w:lineRule="auto"/>
        <w:jc w:val="both"/>
        <w:rPr>
          <w:rFonts w:ascii="Arial" w:eastAsia="Times New Roman" w:hAnsi="Arial" w:cs="Arial"/>
          <w:color w:val="000000"/>
          <w:sz w:val="24"/>
          <w:szCs w:val="24"/>
          <w:lang w:eastAsia="pt-PT"/>
        </w:rPr>
      </w:pPr>
      <w:r w:rsidRPr="00591575">
        <w:rPr>
          <w:rFonts w:ascii="Arial" w:eastAsia="Times New Roman" w:hAnsi="Arial" w:cs="Arial"/>
          <w:color w:val="000000"/>
          <w:sz w:val="24"/>
          <w:szCs w:val="24"/>
          <w:lang w:eastAsia="pt-PT"/>
        </w:rPr>
        <w:t>A segurança urbana constitui uma dimensão específica da segurança interna, dada a concentração populacional, a complexidade social e a maior exposição a riscos no espaço urbano. Não se trata de uma categoria autónoma, mas sim da concretização territorial das políticas de segurança interna, integrada no sistema definido pela L</w:t>
      </w:r>
      <w:r w:rsidR="00940484">
        <w:rPr>
          <w:rFonts w:ascii="Arial" w:eastAsia="Times New Roman" w:hAnsi="Arial" w:cs="Arial"/>
          <w:color w:val="000000"/>
          <w:sz w:val="24"/>
          <w:szCs w:val="24"/>
          <w:lang w:eastAsia="pt-PT"/>
        </w:rPr>
        <w:t>SI</w:t>
      </w:r>
      <w:r w:rsidRPr="00591575">
        <w:rPr>
          <w:rFonts w:ascii="Arial" w:eastAsia="Times New Roman" w:hAnsi="Arial" w:cs="Arial"/>
          <w:color w:val="000000"/>
          <w:sz w:val="24"/>
          <w:szCs w:val="24"/>
          <w:lang w:eastAsia="pt-PT"/>
        </w:rPr>
        <w:t>. A sua abordagem reflete uma mudança de paradigma, ao privilegiar estratégias de prevenção e proximidade, sem comprometer a unidade da função de segurança nem o monopólio estatal do uso legítimo da força. Assim, a segurança urbana articula a centralidade do Estado com respostas adaptadas às especificidades do contexto urbano.</w:t>
      </w:r>
    </w:p>
    <w:p w14:paraId="59762FA1" w14:textId="77777777" w:rsidR="00C447E6" w:rsidRDefault="00C447E6" w:rsidP="00BF1063">
      <w:pPr>
        <w:widowControl/>
        <w:autoSpaceDE/>
        <w:autoSpaceDN/>
        <w:spacing w:line="360" w:lineRule="auto"/>
        <w:jc w:val="both"/>
        <w:rPr>
          <w:rFonts w:ascii="Arial" w:eastAsia="Times New Roman" w:hAnsi="Arial" w:cs="Arial"/>
          <w:color w:val="000000"/>
          <w:sz w:val="24"/>
          <w:szCs w:val="24"/>
          <w:lang w:eastAsia="pt-PT"/>
        </w:rPr>
      </w:pPr>
    </w:p>
    <w:p w14:paraId="14A4C59C" w14:textId="22ACE5C0" w:rsidR="009F246B" w:rsidRPr="00EE587B" w:rsidRDefault="009F246B" w:rsidP="00EE587B">
      <w:pPr>
        <w:pStyle w:val="PargrafodaLista"/>
        <w:widowControl/>
        <w:numPr>
          <w:ilvl w:val="1"/>
          <w:numId w:val="45"/>
        </w:numPr>
        <w:autoSpaceDE/>
        <w:autoSpaceDN/>
        <w:spacing w:line="360" w:lineRule="auto"/>
        <w:jc w:val="both"/>
        <w:rPr>
          <w:rFonts w:ascii="Arial" w:eastAsia="Times New Roman" w:hAnsi="Arial" w:cs="Arial"/>
          <w:b/>
          <w:bCs/>
          <w:color w:val="000000"/>
          <w:sz w:val="24"/>
          <w:szCs w:val="24"/>
          <w:lang w:eastAsia="pt-PT"/>
        </w:rPr>
      </w:pPr>
      <w:r w:rsidRPr="00EE587B">
        <w:rPr>
          <w:rFonts w:ascii="Arial" w:eastAsia="Times New Roman" w:hAnsi="Arial" w:cs="Arial"/>
          <w:b/>
          <w:bCs/>
          <w:color w:val="000000"/>
          <w:sz w:val="24"/>
          <w:szCs w:val="24"/>
          <w:lang w:eastAsia="pt-PT"/>
        </w:rPr>
        <w:t>Segurança Urbana: conceito, enquadramento jurídico e fenómenos urbanos de insegurança</w:t>
      </w:r>
    </w:p>
    <w:p w14:paraId="16BE8B9C" w14:textId="17A37646" w:rsidR="00E36D23" w:rsidRPr="00E36D23"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 xml:space="preserve">A segurança urbana constitui uma dimensão funcional da segurança interna, não se esgotando na mera ausência de criminalidade, mas integrando </w:t>
      </w:r>
      <w:r w:rsidRPr="00E36D23">
        <w:rPr>
          <w:rFonts w:ascii="Arial" w:hAnsi="Arial" w:cs="Arial"/>
          <w:sz w:val="24"/>
          <w:szCs w:val="24"/>
        </w:rPr>
        <w:lastRenderedPageBreak/>
        <w:t>componentes sociais, espaciais, simbólicas e institucionais próprias da vida nas cidades. Trata-se de um conceito complexo e multifacetado, que reflete a interação entre dinâmicas urbanas, relações de poder, desigualdades estruturais e mecanismos institucionais de controlo e proteção</w:t>
      </w:r>
      <w:r w:rsidR="00A33401">
        <w:rPr>
          <w:rFonts w:ascii="Arial" w:hAnsi="Arial" w:cs="Arial"/>
          <w:sz w:val="24"/>
          <w:szCs w:val="24"/>
        </w:rPr>
        <w:t xml:space="preserve">, </w:t>
      </w:r>
      <w:r w:rsidR="00A33401" w:rsidRPr="00A33401">
        <w:rPr>
          <w:rFonts w:ascii="Arial" w:hAnsi="Arial" w:cs="Arial"/>
          <w:sz w:val="24"/>
          <w:szCs w:val="24"/>
        </w:rPr>
        <w:t>refletindo a especificidade do espaço urbano enquanto contexto privilegiado de convivência e risco</w:t>
      </w:r>
      <w:r w:rsidRPr="00E36D23">
        <w:rPr>
          <w:rFonts w:ascii="Arial" w:hAnsi="Arial" w:cs="Arial"/>
          <w:sz w:val="24"/>
          <w:szCs w:val="24"/>
        </w:rPr>
        <w:t xml:space="preserve"> (Jimale &amp; Sipahi, 2023).</w:t>
      </w:r>
    </w:p>
    <w:p w14:paraId="26FEB05F" w14:textId="77777777" w:rsidR="00E36D23"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Neste sentido, a segurança urbana pode ser entendida como um estado dinâmico de proteção, orientado para a redução de vulnerabilidades e para a salvaguarda da integridade física, dos bens e do bem-estar das populações em contexto urbano. Tal perspetiva reconhece que os riscos urbanos não decorrem exclusivamente de atos criminosos, mas também de fatores estruturais, territoriais e ambientais que influenciam a perceção de insegurança e a qualidade de vida urbana (Jimale &amp; Sipahi, 2023).</w:t>
      </w:r>
    </w:p>
    <w:p w14:paraId="3C30BC12" w14:textId="77777777" w:rsidR="00A33401" w:rsidRPr="00E36D23" w:rsidRDefault="00A33401" w:rsidP="00EE587B">
      <w:pPr>
        <w:spacing w:line="360" w:lineRule="auto"/>
        <w:ind w:firstLine="360"/>
        <w:jc w:val="both"/>
        <w:rPr>
          <w:rFonts w:ascii="Arial" w:hAnsi="Arial" w:cs="Arial"/>
          <w:sz w:val="24"/>
          <w:szCs w:val="24"/>
        </w:rPr>
      </w:pPr>
      <w:r w:rsidRPr="00E36D23">
        <w:rPr>
          <w:rFonts w:ascii="Arial" w:hAnsi="Arial" w:cs="Arial"/>
          <w:sz w:val="24"/>
          <w:szCs w:val="24"/>
        </w:rPr>
        <w:t>No plano jurídico, a segurança urbana insere-se plenamente na esfera da segurança interna, integrando-se no sistema definido pela Constituição da República Portuguesa e pela Lei de Segurança Interna. O ordenamento jurídico português consagra o monopólio estatal do uso legítimo da força e submete a atuação das forças e serviços de segurança aos princípios da legalidade, necessidade, proporcionalidade e respeito pelos direitos fundamentais (CRP; Lei n.º 53/2008). A Lei de Segurança Interna estabelece, assim, o quadro normativo que legitima a intervenção do Estado no território urbano, orientada para a proteção de pessoas, bens e instituições democráticas.</w:t>
      </w:r>
    </w:p>
    <w:p w14:paraId="689864A1" w14:textId="77777777" w:rsidR="00940484" w:rsidRDefault="00AC09B4" w:rsidP="00EE587B">
      <w:pPr>
        <w:spacing w:line="360" w:lineRule="auto"/>
        <w:ind w:firstLine="360"/>
        <w:jc w:val="both"/>
        <w:rPr>
          <w:rFonts w:ascii="Arial" w:hAnsi="Arial" w:cs="Arial"/>
          <w:sz w:val="24"/>
          <w:szCs w:val="24"/>
        </w:rPr>
      </w:pPr>
      <w:r w:rsidRPr="00AC09B4">
        <w:rPr>
          <w:rFonts w:ascii="Arial" w:hAnsi="Arial" w:cs="Arial"/>
          <w:sz w:val="24"/>
          <w:szCs w:val="24"/>
        </w:rPr>
        <w:t>Para além do enquadramento jurídico-institucional, a compreensão da segurança urbana exige uma análise dos fenómenos concretos que moldam as experiências de insegurança no espaço urbano</w:t>
      </w:r>
      <w:r>
        <w:rPr>
          <w:rFonts w:ascii="Arial" w:hAnsi="Arial" w:cs="Arial"/>
          <w:sz w:val="24"/>
          <w:szCs w:val="24"/>
        </w:rPr>
        <w:t>. A</w:t>
      </w:r>
      <w:r w:rsidR="00E36D23" w:rsidRPr="00E36D23">
        <w:rPr>
          <w:rFonts w:ascii="Arial" w:hAnsi="Arial" w:cs="Arial"/>
          <w:sz w:val="24"/>
          <w:szCs w:val="24"/>
        </w:rPr>
        <w:t xml:space="preserve"> literatura especializada sublinha o caráter multidimensional da segurança urbana, abrangendo a prevenção da criminalidade, a gestão de incivilidades, a promoção de espaços públicos seguros e</w:t>
      </w:r>
      <w:r w:rsidR="00D75FB4">
        <w:rPr>
          <w:rFonts w:ascii="Arial" w:hAnsi="Arial" w:cs="Arial"/>
          <w:sz w:val="24"/>
          <w:szCs w:val="24"/>
        </w:rPr>
        <w:t xml:space="preserve"> a mitigação de desigualdades só</w:t>
      </w:r>
      <w:r w:rsidR="00E36D23" w:rsidRPr="00E36D23">
        <w:rPr>
          <w:rFonts w:ascii="Arial" w:hAnsi="Arial" w:cs="Arial"/>
          <w:sz w:val="24"/>
          <w:szCs w:val="24"/>
        </w:rPr>
        <w:t xml:space="preserve">cio espaciais que amplificam sentimentos de medo e exclusão (Nobili, 2016). </w:t>
      </w:r>
    </w:p>
    <w:p w14:paraId="13C0F80B" w14:textId="61042E95" w:rsidR="00E36D23" w:rsidRPr="00E36D23"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Como demonstram Saville e Mihinjac</w:t>
      </w:r>
      <w:r w:rsidR="00940484">
        <w:rPr>
          <w:rFonts w:ascii="Arial" w:hAnsi="Arial" w:cs="Arial"/>
          <w:sz w:val="24"/>
          <w:szCs w:val="24"/>
        </w:rPr>
        <w:t xml:space="preserve"> </w:t>
      </w:r>
      <w:r w:rsidR="0035024C">
        <w:rPr>
          <w:rFonts w:ascii="Arial" w:hAnsi="Arial" w:cs="Arial"/>
          <w:sz w:val="24"/>
          <w:szCs w:val="24"/>
        </w:rPr>
        <w:t>(</w:t>
      </w:r>
      <w:r w:rsidRPr="00E36D23">
        <w:rPr>
          <w:rFonts w:ascii="Arial" w:hAnsi="Arial" w:cs="Arial"/>
          <w:sz w:val="24"/>
          <w:szCs w:val="24"/>
        </w:rPr>
        <w:t xml:space="preserve">2019), no âmbito da prevenção através do desenho ambiental (CPTED), elementos do ambiente construído, como iluminação deficiente, degradação do espaço público ou fraca vigilância natural, podem potenciar vulnerabilidades objetivas e subjetivas, contribuindo para a </w:t>
      </w:r>
      <w:r w:rsidRPr="00E36D23">
        <w:rPr>
          <w:rFonts w:ascii="Arial" w:hAnsi="Arial" w:cs="Arial"/>
          <w:sz w:val="24"/>
          <w:szCs w:val="24"/>
        </w:rPr>
        <w:lastRenderedPageBreak/>
        <w:t>perceção de insegurança mesmo em contextos de baixa criminalidade registada.</w:t>
      </w:r>
    </w:p>
    <w:p w14:paraId="6CF87511" w14:textId="77777777" w:rsidR="00E36D23" w:rsidRPr="00E36D23"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A urbanização acelerada e desigual intensifica estes fenómenos. A fragmentação socio espacial, a mobilidade intensa, a precariedade habitacional e o enfraquecimento dos mecanismos tradicionais de controlo social informal moldam experiências diferenciadas de insegurança, afetando de forma desigual grupos sociais e territórios urbanos específicos (Valdez López, 2018). Esta abordagem crítica converge com leituras que interpretam a insegurança urbana como produto de processos sociopolíticos estruturais, marcados por assimetrias de poder e desigualdades persistentes no espaço urbano (Jimale &amp; Sipahi, 2023).</w:t>
      </w:r>
    </w:p>
    <w:p w14:paraId="0426D4C9" w14:textId="0016AEAF" w:rsidR="00E36D23" w:rsidRPr="00E36D23"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 xml:space="preserve">Deste modo, a segurança urbana articula-se com a segurança interna ao considerar a cidade como um espaço de convivência e risco, cujas problemáticas exigem respostas que vão além da repressão penal, sem, contudo, </w:t>
      </w:r>
      <w:r w:rsidR="00AC09B4" w:rsidRPr="00AC09B4">
        <w:rPr>
          <w:rFonts w:ascii="Arial" w:hAnsi="Arial" w:cs="Arial"/>
          <w:sz w:val="24"/>
          <w:szCs w:val="24"/>
        </w:rPr>
        <w:t>configurar um sistema autónomo de segurança</w:t>
      </w:r>
      <w:r w:rsidR="00AC09B4">
        <w:rPr>
          <w:rFonts w:ascii="Arial" w:hAnsi="Arial" w:cs="Arial"/>
          <w:sz w:val="24"/>
          <w:szCs w:val="24"/>
        </w:rPr>
        <w:t>.</w:t>
      </w:r>
      <w:r w:rsidRPr="00E36D23">
        <w:rPr>
          <w:rFonts w:ascii="Arial" w:hAnsi="Arial" w:cs="Arial"/>
          <w:sz w:val="24"/>
          <w:szCs w:val="24"/>
        </w:rPr>
        <w:t xml:space="preserve"> </w:t>
      </w:r>
      <w:r w:rsidR="00AC09B4" w:rsidRPr="00AC09B4">
        <w:rPr>
          <w:rFonts w:ascii="Arial" w:hAnsi="Arial" w:cs="Arial"/>
          <w:sz w:val="24"/>
          <w:szCs w:val="24"/>
        </w:rPr>
        <w:t>A sua operacionalização ocorre no quadro do Sistema de Segurança Interna, respeitando o monopólio estatal do uso legítimo da força e os princípios fundamentais do Estado de Direito democrático.</w:t>
      </w:r>
    </w:p>
    <w:p w14:paraId="292E95C4" w14:textId="780F2625" w:rsidR="009F246B" w:rsidRPr="009F246B" w:rsidRDefault="009F246B" w:rsidP="009F246B">
      <w:pPr>
        <w:widowControl/>
        <w:autoSpaceDE/>
        <w:autoSpaceDN/>
        <w:spacing w:line="360" w:lineRule="auto"/>
        <w:jc w:val="both"/>
        <w:rPr>
          <w:rFonts w:ascii="Arial" w:eastAsia="Times New Roman" w:hAnsi="Arial" w:cs="Arial"/>
          <w:color w:val="000000"/>
          <w:sz w:val="24"/>
          <w:szCs w:val="24"/>
          <w:lang w:eastAsia="pt-PT"/>
        </w:rPr>
      </w:pPr>
    </w:p>
    <w:p w14:paraId="7B343C71" w14:textId="7B0BBE89" w:rsidR="009F246B" w:rsidRPr="00EE587B" w:rsidRDefault="009F246B" w:rsidP="00EE587B">
      <w:pPr>
        <w:pStyle w:val="PargrafodaLista"/>
        <w:widowControl/>
        <w:numPr>
          <w:ilvl w:val="1"/>
          <w:numId w:val="45"/>
        </w:numPr>
        <w:autoSpaceDE/>
        <w:autoSpaceDN/>
        <w:spacing w:line="360" w:lineRule="auto"/>
        <w:jc w:val="both"/>
        <w:rPr>
          <w:rFonts w:ascii="Arial" w:eastAsia="Times New Roman" w:hAnsi="Arial" w:cs="Arial"/>
          <w:b/>
          <w:bCs/>
          <w:color w:val="000000"/>
          <w:sz w:val="24"/>
          <w:szCs w:val="24"/>
          <w:lang w:eastAsia="pt-PT"/>
        </w:rPr>
      </w:pPr>
      <w:r w:rsidRPr="00EE587B">
        <w:rPr>
          <w:rFonts w:ascii="Arial" w:eastAsia="Times New Roman" w:hAnsi="Arial" w:cs="Arial"/>
          <w:b/>
          <w:bCs/>
          <w:color w:val="000000"/>
          <w:sz w:val="24"/>
          <w:szCs w:val="24"/>
          <w:lang w:eastAsia="pt-PT"/>
        </w:rPr>
        <w:t>Segurança Urbana, prevenção e políticas públicas de segurança</w:t>
      </w:r>
    </w:p>
    <w:p w14:paraId="77B31AA4" w14:textId="77777777" w:rsidR="00E36D23" w:rsidRPr="00E36D23"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No domínio das políticas públicas, a segurança urbana afirma-se como um vetor estratégico cuja eficácia depende de abordagens preventivas, integradas e territorialmente sensíveis. A prevenção assume aqui um significado alargado, não se limitando à antecipação da prática criminal, mas abrangendo a criação de condições sociais, institucionais e ambientais que reduzam fatores de risco e reforcem fatores de proteção nas comunidades urbanas (Jimale &amp; Sipahi, 2023).</w:t>
      </w:r>
    </w:p>
    <w:p w14:paraId="2D120721" w14:textId="77777777" w:rsidR="00E36D23" w:rsidRPr="00E36D23"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 xml:space="preserve">Neste contexto, os níveis locais de governação desempenham um papel relevante, em virtude da sua proximidade às realidades concretas e da capacidade de mobilizar redes de atores institucionais e comunitários. A coprodução de segurança envolve forças de segurança, autarquias, serviços sociais, sistema educativo, entidades de saúde e sociedade civil, promovendo respostas articuladas a problemas urbanos complexos (Saraiva </w:t>
      </w:r>
      <w:proofErr w:type="spellStart"/>
      <w:r w:rsidRPr="00E36D23">
        <w:rPr>
          <w:rFonts w:ascii="Arial" w:hAnsi="Arial" w:cs="Arial"/>
          <w:sz w:val="24"/>
          <w:szCs w:val="24"/>
        </w:rPr>
        <w:t>et</w:t>
      </w:r>
      <w:proofErr w:type="spellEnd"/>
      <w:r w:rsidRPr="00E36D23">
        <w:rPr>
          <w:rFonts w:ascii="Arial" w:hAnsi="Arial" w:cs="Arial"/>
          <w:sz w:val="24"/>
          <w:szCs w:val="24"/>
        </w:rPr>
        <w:t xml:space="preserve"> al., 2020).</w:t>
      </w:r>
    </w:p>
    <w:p w14:paraId="72B45760" w14:textId="77777777" w:rsidR="00EE587B"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Em Portugal, os Contratos Locais de Segurança</w:t>
      </w:r>
      <w:r>
        <w:rPr>
          <w:rFonts w:ascii="Arial" w:hAnsi="Arial" w:cs="Arial"/>
          <w:sz w:val="24"/>
          <w:szCs w:val="24"/>
        </w:rPr>
        <w:t xml:space="preserve"> (CLS)</w:t>
      </w:r>
      <w:r w:rsidRPr="00E36D23">
        <w:rPr>
          <w:rFonts w:ascii="Arial" w:hAnsi="Arial" w:cs="Arial"/>
          <w:sz w:val="24"/>
          <w:szCs w:val="24"/>
        </w:rPr>
        <w:t xml:space="preserve"> constituem um exemplo paradigmático desta evolução, materializando uma transição de modelos predominantemente reativos para estratégias preventivas e </w:t>
      </w:r>
      <w:r w:rsidRPr="00E36D23">
        <w:rPr>
          <w:rFonts w:ascii="Arial" w:hAnsi="Arial" w:cs="Arial"/>
          <w:sz w:val="24"/>
          <w:szCs w:val="24"/>
        </w:rPr>
        <w:lastRenderedPageBreak/>
        <w:t>colaborativas. Estes instrumentos promovem a articulação entre a administração central, as autarquias, as forças de segurança e outros parceiros locais, permitindo a definição de prioridades territoriais e a implementação de medidas ajustadas às especificidades locais (Amante &amp; Saraiva, 2019).</w:t>
      </w:r>
    </w:p>
    <w:p w14:paraId="006E10D0" w14:textId="3972585A" w:rsidR="00E36D23" w:rsidRPr="00E36D23"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O policiamento de proximidade assume, neste quadro, um papel estruturante, privilegiando relações de confiança entre forças de segurança e comunidades, a identificação precoce de problemas locais e a resolução integrada de situações de risco social, como exclusão, dependências ou marginalização urbana, que dificilmente se resolvem através de respostas meramente punitivas (</w:t>
      </w:r>
      <w:proofErr w:type="spellStart"/>
      <w:r w:rsidRPr="00E36D23">
        <w:rPr>
          <w:rFonts w:ascii="Arial" w:hAnsi="Arial" w:cs="Arial"/>
          <w:sz w:val="24"/>
          <w:szCs w:val="24"/>
        </w:rPr>
        <w:t>Stummvoll</w:t>
      </w:r>
      <w:proofErr w:type="spellEnd"/>
      <w:r w:rsidRPr="00E36D23">
        <w:rPr>
          <w:rFonts w:ascii="Arial" w:hAnsi="Arial" w:cs="Arial"/>
          <w:sz w:val="24"/>
          <w:szCs w:val="24"/>
        </w:rPr>
        <w:t>, 2017).</w:t>
      </w:r>
    </w:p>
    <w:p w14:paraId="1987A60D" w14:textId="77777777" w:rsidR="00E36D23" w:rsidRPr="00E36D23"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A literatura demonstra que a eficácia das políticas de segurança urbana não pode ser aferida exclusivamente por indicadores criminais, devendo incluir variáveis como a perceção de segurança, a qualidade do espaço público e a coesão social. Fenómenos como incivilidades, degradação ambiental e desigualdades territoriais influenciam diretamente o medo urbano e o uso dos espaços públicos, exigindo abordagens combinadas de prevenção situacional, intervenção social e planeamento urbano (Nobili, 2016; Valdez López, 2018).</w:t>
      </w:r>
    </w:p>
    <w:p w14:paraId="03F9F3D4" w14:textId="77777777" w:rsidR="00E36D23" w:rsidRPr="00E36D23" w:rsidRDefault="00E36D23" w:rsidP="00EE587B">
      <w:pPr>
        <w:spacing w:line="360" w:lineRule="auto"/>
        <w:ind w:firstLine="360"/>
        <w:jc w:val="both"/>
        <w:rPr>
          <w:rFonts w:ascii="Arial" w:hAnsi="Arial" w:cs="Arial"/>
          <w:sz w:val="24"/>
          <w:szCs w:val="24"/>
        </w:rPr>
      </w:pPr>
      <w:r w:rsidRPr="00E36D23">
        <w:rPr>
          <w:rFonts w:ascii="Arial" w:hAnsi="Arial" w:cs="Arial"/>
          <w:sz w:val="24"/>
          <w:szCs w:val="24"/>
        </w:rPr>
        <w:t>Assim, políticas públicas eficazes em matéria de segurança urbana não se esgotam em respostas de natureza policial, exigindo uma integração intersectorial de ações orientadas para a prevenção. Neste enquadramento, a segurança urbana consolida-se como uma dimensão operativa da segurança interna, funcionalmente articulada com as opções estratégicas do Estado e concretizada através de instrumentos específicos de coordenação local, permanecendo, contudo, sujeita aos limites constitucionais e legais que conformam o exercício da função de segurança.</w:t>
      </w:r>
    </w:p>
    <w:p w14:paraId="7AAAE6F8" w14:textId="77777777" w:rsidR="00BF1063" w:rsidRPr="00BF1063" w:rsidRDefault="00BF1063" w:rsidP="00BF1063">
      <w:pPr>
        <w:widowControl/>
        <w:autoSpaceDE/>
        <w:autoSpaceDN/>
        <w:spacing w:line="360" w:lineRule="auto"/>
        <w:jc w:val="both"/>
        <w:rPr>
          <w:rFonts w:ascii="Arial" w:eastAsia="Times New Roman" w:hAnsi="Arial" w:cs="Arial"/>
          <w:color w:val="000000"/>
          <w:sz w:val="24"/>
          <w:szCs w:val="24"/>
          <w:lang w:eastAsia="pt-PT"/>
        </w:rPr>
      </w:pPr>
    </w:p>
    <w:p w14:paraId="096BBE5E" w14:textId="116D9BEA" w:rsidR="00BF1063" w:rsidRPr="00EE587B" w:rsidRDefault="00BF1063" w:rsidP="00EE587B">
      <w:pPr>
        <w:pStyle w:val="PargrafodaLista"/>
        <w:widowControl/>
        <w:numPr>
          <w:ilvl w:val="0"/>
          <w:numId w:val="45"/>
        </w:numPr>
        <w:autoSpaceDE/>
        <w:autoSpaceDN/>
        <w:spacing w:line="360" w:lineRule="auto"/>
        <w:rPr>
          <w:rFonts w:ascii="Arial" w:eastAsia="Times New Roman" w:hAnsi="Arial" w:cs="Arial"/>
          <w:color w:val="000000"/>
          <w:sz w:val="24"/>
          <w:szCs w:val="24"/>
          <w:lang w:eastAsia="pt-PT"/>
        </w:rPr>
      </w:pPr>
      <w:r w:rsidRPr="00EE587B">
        <w:rPr>
          <w:rFonts w:ascii="Arial" w:eastAsia="Times New Roman" w:hAnsi="Arial" w:cs="Arial"/>
          <w:b/>
          <w:bCs/>
          <w:color w:val="000000"/>
          <w:sz w:val="24"/>
          <w:szCs w:val="24"/>
          <w:lang w:eastAsia="pt-PT"/>
        </w:rPr>
        <w:t>A Estratégia Integrada de Segurança Urbana (EISU)</w:t>
      </w:r>
    </w:p>
    <w:p w14:paraId="1E605A57" w14:textId="749706F1" w:rsidR="008B5A40" w:rsidRPr="008B5A40" w:rsidRDefault="008B5A40" w:rsidP="00EE587B">
      <w:pPr>
        <w:spacing w:line="360" w:lineRule="auto"/>
        <w:ind w:firstLine="360"/>
        <w:jc w:val="both"/>
        <w:rPr>
          <w:rFonts w:ascii="Arial" w:hAnsi="Arial" w:cs="Arial"/>
          <w:sz w:val="24"/>
          <w:szCs w:val="24"/>
        </w:rPr>
      </w:pPr>
      <w:r w:rsidRPr="008B5A40">
        <w:rPr>
          <w:rFonts w:ascii="Arial" w:hAnsi="Arial" w:cs="Arial"/>
          <w:sz w:val="24"/>
          <w:szCs w:val="24"/>
        </w:rPr>
        <w:t xml:space="preserve">A Estratégia Integrada de Segurança Urbana (EISU) apresenta-se como uma opção estratégica do Estado português, cujo objetivo é reforçar uma abordagem preventiva, coordenada e integrada da segurança urbana. Aprovada por Resolução do Conselho de Ministros n.º 91/2023, a EISU reflete na sua essência o facto de ser um instrumento de </w:t>
      </w:r>
      <w:r w:rsidRPr="008B5A40">
        <w:rPr>
          <w:rFonts w:ascii="Arial" w:hAnsi="Arial" w:cs="Arial"/>
          <w:i/>
          <w:iCs/>
          <w:sz w:val="24"/>
          <w:szCs w:val="24"/>
        </w:rPr>
        <w:t xml:space="preserve">soft </w:t>
      </w:r>
      <w:proofErr w:type="spellStart"/>
      <w:r w:rsidRPr="008B5A40">
        <w:rPr>
          <w:rFonts w:ascii="Arial" w:hAnsi="Arial" w:cs="Arial"/>
          <w:i/>
          <w:iCs/>
          <w:sz w:val="24"/>
          <w:szCs w:val="24"/>
        </w:rPr>
        <w:t>law</w:t>
      </w:r>
      <w:proofErr w:type="spellEnd"/>
      <w:r w:rsidRPr="008B5A40">
        <w:rPr>
          <w:rFonts w:ascii="Arial" w:hAnsi="Arial" w:cs="Arial"/>
          <w:sz w:val="24"/>
          <w:szCs w:val="24"/>
        </w:rPr>
        <w:t xml:space="preserve">, o qual orienta a ação dos diversos atores institucionais sem proceder a qualquer alteração ao quadro legal da </w:t>
      </w:r>
      <w:r w:rsidRPr="008B5A40">
        <w:rPr>
          <w:rFonts w:ascii="Arial" w:hAnsi="Arial" w:cs="Arial"/>
          <w:sz w:val="24"/>
          <w:szCs w:val="24"/>
        </w:rPr>
        <w:lastRenderedPageBreak/>
        <w:t>segurança interna. A estratégia procura articular níveis de intervenção distintos, por via da promoção da cooperação institucional e da adaptação das políticas de segurança às realidades urbanas objetivas.</w:t>
      </w:r>
      <w:r w:rsidR="00CC6624">
        <w:rPr>
          <w:rFonts w:ascii="Arial" w:hAnsi="Arial" w:cs="Arial"/>
          <w:sz w:val="24"/>
          <w:szCs w:val="24"/>
        </w:rPr>
        <w:t xml:space="preserve"> </w:t>
      </w:r>
      <w:r w:rsidR="00CC6624" w:rsidRPr="00CC6624">
        <w:rPr>
          <w:rFonts w:ascii="Arial" w:hAnsi="Arial" w:cs="Arial"/>
          <w:sz w:val="24"/>
          <w:szCs w:val="24"/>
        </w:rPr>
        <w:t xml:space="preserve">Neste contexto, a EISU afirma-se como um mecanismo de territorialização das políticas públicas de segurança e de descentralização funcional da sua execução, pese embora se mantenha sob coordenação estratégica do Estado e </w:t>
      </w:r>
      <w:r w:rsidR="00FC4CF9">
        <w:rPr>
          <w:rFonts w:ascii="Arial" w:hAnsi="Arial" w:cs="Arial"/>
          <w:sz w:val="24"/>
          <w:szCs w:val="24"/>
        </w:rPr>
        <w:t>no quadro do</w:t>
      </w:r>
      <w:r w:rsidR="00CC6624" w:rsidRPr="00CC6624">
        <w:rPr>
          <w:rFonts w:ascii="Arial" w:hAnsi="Arial" w:cs="Arial"/>
          <w:sz w:val="24"/>
          <w:szCs w:val="24"/>
        </w:rPr>
        <w:t xml:space="preserve"> Sistema de Segurança Interna.</w:t>
      </w:r>
    </w:p>
    <w:p w14:paraId="71766E1B" w14:textId="3E32DFC7" w:rsidR="008B5A40" w:rsidRPr="008B5A40" w:rsidRDefault="008B5A40" w:rsidP="00EE587B">
      <w:pPr>
        <w:spacing w:line="360" w:lineRule="auto"/>
        <w:ind w:firstLine="360"/>
        <w:jc w:val="both"/>
        <w:rPr>
          <w:rFonts w:ascii="Arial" w:hAnsi="Arial" w:cs="Arial"/>
          <w:sz w:val="24"/>
          <w:szCs w:val="24"/>
        </w:rPr>
      </w:pPr>
      <w:r w:rsidRPr="008B5A40">
        <w:rPr>
          <w:rFonts w:ascii="Arial" w:hAnsi="Arial" w:cs="Arial"/>
          <w:sz w:val="24"/>
          <w:szCs w:val="24"/>
        </w:rPr>
        <w:t xml:space="preserve">Enquanto política pública estratégica e integrada, a EISU é qualificada como um ativo estratégico do Estado, que representa uma mudança estrutural no modelo de segurança no país, com a consolidação de uma lógica reativa para uma lógica preventiva, tanto na Resolução do Conselho de Ministros n.º 91/2023, como no RASI e no </w:t>
      </w:r>
      <w:proofErr w:type="spellStart"/>
      <w:r w:rsidRPr="008B5A40">
        <w:rPr>
          <w:rFonts w:ascii="Arial" w:hAnsi="Arial" w:cs="Arial"/>
          <w:sz w:val="24"/>
          <w:szCs w:val="24"/>
        </w:rPr>
        <w:t>Urban</w:t>
      </w:r>
      <w:proofErr w:type="spellEnd"/>
      <w:r w:rsidRPr="008B5A40">
        <w:rPr>
          <w:rFonts w:ascii="Arial" w:hAnsi="Arial" w:cs="Arial"/>
          <w:sz w:val="24"/>
          <w:szCs w:val="24"/>
        </w:rPr>
        <w:t xml:space="preserve"> Crime </w:t>
      </w:r>
      <w:proofErr w:type="spellStart"/>
      <w:r w:rsidRPr="008B5A40">
        <w:rPr>
          <w:rFonts w:ascii="Arial" w:hAnsi="Arial" w:cs="Arial"/>
          <w:sz w:val="24"/>
          <w:szCs w:val="24"/>
        </w:rPr>
        <w:t>Prevention</w:t>
      </w:r>
      <w:proofErr w:type="spellEnd"/>
      <w:r w:rsidRPr="008B5A40">
        <w:rPr>
          <w:rFonts w:ascii="Arial" w:hAnsi="Arial" w:cs="Arial"/>
          <w:sz w:val="24"/>
          <w:szCs w:val="24"/>
        </w:rPr>
        <w:t xml:space="preserve">. A Resolução n.º 91/2023 funciona como um referencial nacional de atuação integrada, pelo que assume uma natureza programática e estratégica. </w:t>
      </w:r>
    </w:p>
    <w:p w14:paraId="676AEBFB" w14:textId="20AE4FFA" w:rsidR="008B5A40" w:rsidRPr="008B5A40" w:rsidRDefault="008B5A40" w:rsidP="00EE587B">
      <w:pPr>
        <w:spacing w:line="360" w:lineRule="auto"/>
        <w:ind w:firstLine="360"/>
        <w:jc w:val="both"/>
        <w:rPr>
          <w:rFonts w:ascii="Arial" w:hAnsi="Arial" w:cs="Arial"/>
          <w:sz w:val="24"/>
          <w:szCs w:val="24"/>
        </w:rPr>
      </w:pPr>
      <w:r w:rsidRPr="008B5A40">
        <w:rPr>
          <w:rFonts w:ascii="Arial" w:hAnsi="Arial" w:cs="Arial"/>
          <w:sz w:val="24"/>
          <w:szCs w:val="24"/>
        </w:rPr>
        <w:t>Todas as fontes analisadas convergem na ideia de que a EISU é uma estratégia sistémica, integrada e multinível, havendo igualmente consenso quanto à necessidade de haver uma coordenação interinstitucional para que a segurança urbana atinja a sua eficácia. Amante e Silva</w:t>
      </w:r>
      <w:r w:rsidR="00D34C02">
        <w:rPr>
          <w:rFonts w:ascii="Arial" w:hAnsi="Arial" w:cs="Arial"/>
          <w:sz w:val="24"/>
          <w:szCs w:val="24"/>
        </w:rPr>
        <w:t xml:space="preserve"> </w:t>
      </w:r>
      <w:r w:rsidR="0035024C">
        <w:rPr>
          <w:rFonts w:ascii="Arial" w:hAnsi="Arial" w:cs="Arial"/>
          <w:sz w:val="24"/>
          <w:szCs w:val="24"/>
        </w:rPr>
        <w:t>(</w:t>
      </w:r>
      <w:r w:rsidRPr="008B5A40">
        <w:rPr>
          <w:rFonts w:ascii="Arial" w:hAnsi="Arial" w:cs="Arial"/>
          <w:sz w:val="24"/>
          <w:szCs w:val="24"/>
        </w:rPr>
        <w:t>2019) aprofundam a questão das várias escalas de governação, ou seja, do facto de ser uma estratégia multinível, sob a perspetiva da cooperação administrativa, dando destaque à coprodução de segurança. Por seu lado, a Resolução n.º 91/2023 dá ênfase à interdependência funcional entre os diferentes níveis</w:t>
      </w:r>
      <w:r w:rsidR="005925DE">
        <w:rPr>
          <w:rFonts w:ascii="Arial" w:hAnsi="Arial" w:cs="Arial"/>
          <w:sz w:val="24"/>
          <w:szCs w:val="24"/>
        </w:rPr>
        <w:t xml:space="preserve"> (central, regional e local). O próprio</w:t>
      </w:r>
      <w:r w:rsidRPr="008B5A40">
        <w:rPr>
          <w:rFonts w:ascii="Arial" w:hAnsi="Arial" w:cs="Arial"/>
          <w:sz w:val="24"/>
          <w:szCs w:val="24"/>
        </w:rPr>
        <w:t xml:space="preserve"> RASI </w:t>
      </w:r>
      <w:r w:rsidR="005925DE">
        <w:rPr>
          <w:rFonts w:ascii="Arial" w:hAnsi="Arial" w:cs="Arial"/>
          <w:sz w:val="24"/>
          <w:szCs w:val="24"/>
        </w:rPr>
        <w:t>contempla</w:t>
      </w:r>
      <w:r w:rsidRPr="008B5A40">
        <w:rPr>
          <w:rFonts w:ascii="Arial" w:hAnsi="Arial" w:cs="Arial"/>
          <w:sz w:val="24"/>
          <w:szCs w:val="24"/>
        </w:rPr>
        <w:t xml:space="preserve"> a descrição da articulação entre as várias entidades, </w:t>
      </w:r>
      <w:r w:rsidR="005925DE">
        <w:rPr>
          <w:rFonts w:ascii="Arial" w:hAnsi="Arial" w:cs="Arial"/>
          <w:sz w:val="24"/>
          <w:szCs w:val="24"/>
        </w:rPr>
        <w:t>podendo assim c</w:t>
      </w:r>
      <w:r w:rsidRPr="008B5A40">
        <w:rPr>
          <w:rFonts w:ascii="Arial" w:hAnsi="Arial" w:cs="Arial"/>
          <w:sz w:val="24"/>
          <w:szCs w:val="24"/>
        </w:rPr>
        <w:t xml:space="preserve">onsiderar que os princípios acima abordados estão implícitos neste relatório anual. </w:t>
      </w:r>
    </w:p>
    <w:p w14:paraId="0BEBE4DD" w14:textId="751B8918" w:rsidR="008B5A40" w:rsidRPr="008B5A40" w:rsidRDefault="008B5A40" w:rsidP="00EE587B">
      <w:pPr>
        <w:spacing w:line="360" w:lineRule="auto"/>
        <w:ind w:firstLine="360"/>
        <w:jc w:val="both"/>
        <w:rPr>
          <w:rFonts w:ascii="Arial" w:hAnsi="Arial" w:cs="Arial"/>
          <w:sz w:val="24"/>
          <w:szCs w:val="24"/>
        </w:rPr>
      </w:pPr>
      <w:r w:rsidRPr="008B5A40">
        <w:rPr>
          <w:rFonts w:ascii="Arial" w:hAnsi="Arial" w:cs="Arial"/>
          <w:sz w:val="24"/>
          <w:szCs w:val="24"/>
        </w:rPr>
        <w:t>Sob o ponto de vista de uma dimensão proativa social, todas as fontes aqui analisadas reconhecem que o pilar estruturante da EISU é a prevenção social, assim como a necessidade do envolvimento de atores não policiais com proximidade às comunidades, como autarquias, escolas e sociedade civil. A Resolução n.º 91/2023 enquadra esta dimensão social numa lógica de estratégia nacional. Amante e Saraiva</w:t>
      </w:r>
      <w:r w:rsidR="00D34C02">
        <w:rPr>
          <w:rFonts w:ascii="Arial" w:hAnsi="Arial" w:cs="Arial"/>
          <w:sz w:val="24"/>
          <w:szCs w:val="24"/>
        </w:rPr>
        <w:t xml:space="preserve"> </w:t>
      </w:r>
      <w:r w:rsidR="0035024C">
        <w:rPr>
          <w:rFonts w:ascii="Arial" w:hAnsi="Arial" w:cs="Arial"/>
          <w:sz w:val="24"/>
          <w:szCs w:val="24"/>
        </w:rPr>
        <w:t>(</w:t>
      </w:r>
      <w:r w:rsidRPr="008B5A40">
        <w:rPr>
          <w:rFonts w:ascii="Arial" w:hAnsi="Arial" w:cs="Arial"/>
          <w:sz w:val="24"/>
          <w:szCs w:val="24"/>
        </w:rPr>
        <w:t xml:space="preserve">2019) analisam esta dimensão sob o ponto de vista operacional. Já o RASI traduz esta dimensão social em programas concretos. Analisando, agora, a dimensão proativa operacional, as fontes ora analisadas </w:t>
      </w:r>
      <w:r w:rsidRPr="008B5A40">
        <w:rPr>
          <w:rFonts w:ascii="Arial" w:hAnsi="Arial" w:cs="Arial"/>
          <w:sz w:val="24"/>
          <w:szCs w:val="24"/>
        </w:rPr>
        <w:lastRenderedPageBreak/>
        <w:t>convergem no reconhecimento do papel fundamental das Forças e Serviços de Segurança na execução da EISU. O policiamento de proximidade e a visibilidade são reconhecidos como elementos-chave, sendo, neste contexto, a recolha de informação e a tecnologia vistas como fatores de reforço da capacidade operacional. Neste enquadramento, a Resolução n.º 91/2023 contém, em termos estratégicos e de coordenação, a dimensão operacional, com o RASI a apresentar dados empíricos que dão ênfase à capacidade executiva do sistema. O foco de Amante e Saraiva</w:t>
      </w:r>
      <w:r w:rsidR="00D34C02">
        <w:rPr>
          <w:rFonts w:ascii="Arial" w:hAnsi="Arial" w:cs="Arial"/>
          <w:sz w:val="24"/>
          <w:szCs w:val="24"/>
        </w:rPr>
        <w:t xml:space="preserve"> </w:t>
      </w:r>
      <w:r w:rsidR="0035024C">
        <w:rPr>
          <w:rFonts w:ascii="Arial" w:hAnsi="Arial" w:cs="Arial"/>
          <w:sz w:val="24"/>
          <w:szCs w:val="24"/>
        </w:rPr>
        <w:t>(</w:t>
      </w:r>
      <w:r w:rsidRPr="008B5A40">
        <w:rPr>
          <w:rFonts w:ascii="Arial" w:hAnsi="Arial" w:cs="Arial"/>
          <w:sz w:val="24"/>
          <w:szCs w:val="24"/>
        </w:rPr>
        <w:t>2019) é n</w:t>
      </w:r>
      <w:r w:rsidR="00773DCB">
        <w:rPr>
          <w:rFonts w:ascii="Arial" w:hAnsi="Arial" w:cs="Arial"/>
          <w:sz w:val="24"/>
          <w:szCs w:val="24"/>
        </w:rPr>
        <w:t>a</w:t>
      </w:r>
      <w:r w:rsidRPr="008B5A40">
        <w:rPr>
          <w:rFonts w:ascii="Arial" w:hAnsi="Arial" w:cs="Arial"/>
          <w:sz w:val="24"/>
          <w:szCs w:val="24"/>
        </w:rPr>
        <w:t xml:space="preserve"> integração entre policiamento e intervenção social, porquanto evitam uma leitura estritamente securitária.</w:t>
      </w:r>
    </w:p>
    <w:p w14:paraId="31C95398" w14:textId="77777777" w:rsidR="00762345" w:rsidRDefault="008B5A40" w:rsidP="00EE587B">
      <w:pPr>
        <w:spacing w:line="360" w:lineRule="auto"/>
        <w:ind w:firstLine="360"/>
        <w:jc w:val="both"/>
        <w:rPr>
          <w:rFonts w:ascii="Arial" w:hAnsi="Arial" w:cs="Arial"/>
          <w:sz w:val="24"/>
          <w:szCs w:val="24"/>
        </w:rPr>
      </w:pPr>
      <w:r w:rsidRPr="008B5A40">
        <w:rPr>
          <w:rFonts w:ascii="Arial" w:hAnsi="Arial" w:cs="Arial"/>
          <w:sz w:val="24"/>
          <w:szCs w:val="24"/>
        </w:rPr>
        <w:t xml:space="preserve">Há um consenso alargado quanto ao alinhamento da EISU com os Objetivos do Desenvolvimento Sustentável – ODS (Agenda 2030 da ONU). A segurança urbana é associada à promoção de: ODS 5 – Igualdade de género, ODS 10 – Redução das desigualdades, ODS 11 – Cidades e comunidades sustentáveis e ODS 16 – Paz, justiça e instituições eficazes. A segurança é, neste sentido, entendida como condição transversal para o desenvolvimento sustentável. </w:t>
      </w:r>
    </w:p>
    <w:p w14:paraId="44E67409" w14:textId="77777777" w:rsidR="00762345" w:rsidRPr="00762345" w:rsidRDefault="00762345" w:rsidP="00EE587B">
      <w:pPr>
        <w:spacing w:line="360" w:lineRule="auto"/>
        <w:ind w:firstLine="360"/>
        <w:jc w:val="both"/>
        <w:rPr>
          <w:rFonts w:ascii="Arial" w:hAnsi="Arial" w:cs="Arial"/>
          <w:sz w:val="24"/>
          <w:szCs w:val="24"/>
        </w:rPr>
      </w:pPr>
      <w:r w:rsidRPr="00762345">
        <w:rPr>
          <w:rFonts w:ascii="Arial" w:hAnsi="Arial" w:cs="Arial"/>
          <w:sz w:val="24"/>
          <w:szCs w:val="24"/>
        </w:rPr>
        <w:t>A Resolução n.º 91/2023 estabelece uma ligação explícita e formal aos Objetivos de Desenvolvimento Sustentável (ODS), enquanto o RASI enquadra a segurança como fator estruturante do desenvolvimento. Já Amante e Saraiva (2019), ao abordarem a resposta às vulnerabilidades territoriais, adotam uma perspetiva implicitamente alinhada com os ODS.</w:t>
      </w:r>
    </w:p>
    <w:p w14:paraId="65F1EBEF" w14:textId="1E8A7B1E" w:rsidR="008B5A40" w:rsidRPr="008B5A40" w:rsidRDefault="008B5A40" w:rsidP="00EE587B">
      <w:pPr>
        <w:spacing w:line="360" w:lineRule="auto"/>
        <w:ind w:firstLine="360"/>
        <w:jc w:val="both"/>
        <w:rPr>
          <w:rFonts w:ascii="Arial" w:hAnsi="Arial" w:cs="Arial"/>
          <w:sz w:val="24"/>
          <w:szCs w:val="24"/>
        </w:rPr>
      </w:pPr>
      <w:r w:rsidRPr="008B5A40">
        <w:rPr>
          <w:rFonts w:ascii="Arial" w:hAnsi="Arial" w:cs="Arial"/>
          <w:sz w:val="24"/>
          <w:szCs w:val="24"/>
        </w:rPr>
        <w:t xml:space="preserve">No que </w:t>
      </w:r>
      <w:r w:rsidR="00762345">
        <w:rPr>
          <w:rFonts w:ascii="Arial" w:hAnsi="Arial" w:cs="Arial"/>
          <w:sz w:val="24"/>
          <w:szCs w:val="24"/>
        </w:rPr>
        <w:t xml:space="preserve">respeita </w:t>
      </w:r>
      <w:r w:rsidRPr="008B5A40">
        <w:rPr>
          <w:rFonts w:ascii="Arial" w:hAnsi="Arial" w:cs="Arial"/>
          <w:sz w:val="24"/>
          <w:szCs w:val="24"/>
        </w:rPr>
        <w:t>às implicaçõ</w:t>
      </w:r>
      <w:r w:rsidR="00762345">
        <w:rPr>
          <w:rFonts w:ascii="Arial" w:hAnsi="Arial" w:cs="Arial"/>
          <w:sz w:val="24"/>
          <w:szCs w:val="24"/>
        </w:rPr>
        <w:t>es para a governação multinível</w:t>
      </w:r>
      <w:r w:rsidRPr="008B5A40">
        <w:rPr>
          <w:rFonts w:ascii="Arial" w:hAnsi="Arial" w:cs="Arial"/>
          <w:sz w:val="24"/>
          <w:szCs w:val="24"/>
        </w:rPr>
        <w:t xml:space="preserve">, todas as fontes reconhecem-na como elemento nuclear da EISU, </w:t>
      </w:r>
      <w:r w:rsidR="00762345">
        <w:rPr>
          <w:rFonts w:ascii="Arial" w:hAnsi="Arial" w:cs="Arial"/>
          <w:sz w:val="24"/>
          <w:szCs w:val="24"/>
        </w:rPr>
        <w:t xml:space="preserve">verificando-se </w:t>
      </w:r>
      <w:r w:rsidRPr="008B5A40">
        <w:rPr>
          <w:rFonts w:ascii="Arial" w:hAnsi="Arial" w:cs="Arial"/>
          <w:sz w:val="24"/>
          <w:szCs w:val="24"/>
        </w:rPr>
        <w:t xml:space="preserve">um </w:t>
      </w:r>
      <w:r w:rsidR="00762345">
        <w:rPr>
          <w:rFonts w:ascii="Arial" w:hAnsi="Arial" w:cs="Arial"/>
          <w:sz w:val="24"/>
          <w:szCs w:val="24"/>
        </w:rPr>
        <w:t>entendimento convergentes quanto</w:t>
      </w:r>
      <w:r w:rsidRPr="008B5A40">
        <w:rPr>
          <w:rFonts w:ascii="Arial" w:hAnsi="Arial" w:cs="Arial"/>
          <w:sz w:val="24"/>
          <w:szCs w:val="24"/>
        </w:rPr>
        <w:t xml:space="preserve"> à coprodução de segurança entre Estado central, </w:t>
      </w:r>
      <w:r w:rsidR="00762345">
        <w:rPr>
          <w:rFonts w:ascii="Arial" w:hAnsi="Arial" w:cs="Arial"/>
          <w:sz w:val="24"/>
          <w:szCs w:val="24"/>
        </w:rPr>
        <w:t xml:space="preserve">as </w:t>
      </w:r>
      <w:r w:rsidRPr="008B5A40">
        <w:rPr>
          <w:rFonts w:ascii="Arial" w:hAnsi="Arial" w:cs="Arial"/>
          <w:sz w:val="24"/>
          <w:szCs w:val="24"/>
        </w:rPr>
        <w:t xml:space="preserve">autarquias e </w:t>
      </w:r>
      <w:r w:rsidR="00762345">
        <w:rPr>
          <w:rFonts w:ascii="Arial" w:hAnsi="Arial" w:cs="Arial"/>
          <w:sz w:val="24"/>
          <w:szCs w:val="24"/>
        </w:rPr>
        <w:t xml:space="preserve">os </w:t>
      </w:r>
      <w:r w:rsidRPr="008B5A40">
        <w:rPr>
          <w:rFonts w:ascii="Arial" w:hAnsi="Arial" w:cs="Arial"/>
          <w:sz w:val="24"/>
          <w:szCs w:val="24"/>
        </w:rPr>
        <w:t>parceiros locais</w:t>
      </w:r>
      <w:r w:rsidR="00762345">
        <w:rPr>
          <w:rFonts w:ascii="Arial" w:hAnsi="Arial" w:cs="Arial"/>
          <w:sz w:val="24"/>
          <w:szCs w:val="24"/>
        </w:rPr>
        <w:t>. Este entendimento e</w:t>
      </w:r>
      <w:r w:rsidRPr="008B5A40">
        <w:rPr>
          <w:rFonts w:ascii="Arial" w:hAnsi="Arial" w:cs="Arial"/>
          <w:sz w:val="24"/>
          <w:szCs w:val="24"/>
        </w:rPr>
        <w:t>stende</w:t>
      </w:r>
      <w:r w:rsidR="00762345">
        <w:rPr>
          <w:rFonts w:ascii="Arial" w:hAnsi="Arial" w:cs="Arial"/>
          <w:sz w:val="24"/>
          <w:szCs w:val="24"/>
        </w:rPr>
        <w:t>-se igualmente ao</w:t>
      </w:r>
      <w:r w:rsidRPr="008B5A40">
        <w:rPr>
          <w:rFonts w:ascii="Arial" w:hAnsi="Arial" w:cs="Arial"/>
          <w:sz w:val="24"/>
          <w:szCs w:val="24"/>
        </w:rPr>
        <w:t xml:space="preserve"> reconhec</w:t>
      </w:r>
      <w:r w:rsidR="00762345">
        <w:rPr>
          <w:rFonts w:ascii="Arial" w:hAnsi="Arial" w:cs="Arial"/>
          <w:sz w:val="24"/>
          <w:szCs w:val="24"/>
        </w:rPr>
        <w:t>imento</w:t>
      </w:r>
      <w:r w:rsidRPr="008B5A40">
        <w:rPr>
          <w:rFonts w:ascii="Arial" w:hAnsi="Arial" w:cs="Arial"/>
          <w:sz w:val="24"/>
          <w:szCs w:val="24"/>
        </w:rPr>
        <w:t xml:space="preserve"> </w:t>
      </w:r>
      <w:r w:rsidR="00762345">
        <w:rPr>
          <w:rFonts w:ascii="Arial" w:hAnsi="Arial" w:cs="Arial"/>
          <w:sz w:val="24"/>
          <w:szCs w:val="24"/>
        </w:rPr>
        <w:t>d</w:t>
      </w:r>
      <w:r w:rsidRPr="008B5A40">
        <w:rPr>
          <w:rFonts w:ascii="Arial" w:hAnsi="Arial" w:cs="Arial"/>
          <w:sz w:val="24"/>
          <w:szCs w:val="24"/>
        </w:rPr>
        <w:t xml:space="preserve">os Contratos Locais de Segurança como o instrumento chave da operacionalização. O RASI reforça a </w:t>
      </w:r>
      <w:r w:rsidR="00762345">
        <w:rPr>
          <w:rFonts w:ascii="Arial" w:hAnsi="Arial" w:cs="Arial"/>
          <w:sz w:val="24"/>
          <w:szCs w:val="24"/>
        </w:rPr>
        <w:t>lógica</w:t>
      </w:r>
      <w:r w:rsidRPr="008B5A40">
        <w:rPr>
          <w:rFonts w:ascii="Arial" w:hAnsi="Arial" w:cs="Arial"/>
          <w:sz w:val="24"/>
          <w:szCs w:val="24"/>
        </w:rPr>
        <w:t xml:space="preserve"> da execução partilhada ao </w:t>
      </w:r>
      <w:r w:rsidR="00762345">
        <w:rPr>
          <w:rFonts w:ascii="Arial" w:hAnsi="Arial" w:cs="Arial"/>
          <w:sz w:val="24"/>
          <w:szCs w:val="24"/>
        </w:rPr>
        <w:t>evidenciar</w:t>
      </w:r>
      <w:r w:rsidRPr="008B5A40">
        <w:rPr>
          <w:rFonts w:ascii="Arial" w:hAnsi="Arial" w:cs="Arial"/>
          <w:sz w:val="24"/>
          <w:szCs w:val="24"/>
        </w:rPr>
        <w:t xml:space="preserve"> a cooperação </w:t>
      </w:r>
      <w:r w:rsidR="00762345">
        <w:rPr>
          <w:rFonts w:ascii="Arial" w:hAnsi="Arial" w:cs="Arial"/>
          <w:sz w:val="24"/>
          <w:szCs w:val="24"/>
        </w:rPr>
        <w:t xml:space="preserve">interinstitucional, enquanto </w:t>
      </w:r>
      <w:r w:rsidRPr="008B5A40">
        <w:rPr>
          <w:rFonts w:ascii="Arial" w:hAnsi="Arial" w:cs="Arial"/>
          <w:sz w:val="24"/>
          <w:szCs w:val="24"/>
        </w:rPr>
        <w:t xml:space="preserve">Amante e Saraiva (2019) </w:t>
      </w:r>
      <w:r w:rsidR="00762345">
        <w:rPr>
          <w:rFonts w:ascii="Arial" w:hAnsi="Arial" w:cs="Arial"/>
          <w:sz w:val="24"/>
          <w:szCs w:val="24"/>
        </w:rPr>
        <w:t>atribuem às autarquias um</w:t>
      </w:r>
      <w:r w:rsidRPr="008B5A40">
        <w:rPr>
          <w:rFonts w:ascii="Arial" w:hAnsi="Arial" w:cs="Arial"/>
          <w:sz w:val="24"/>
          <w:szCs w:val="24"/>
        </w:rPr>
        <w:t xml:space="preserve"> papel de dinamizadoras territoriais</w:t>
      </w:r>
      <w:r w:rsidR="00762345">
        <w:rPr>
          <w:rFonts w:ascii="Arial" w:hAnsi="Arial" w:cs="Arial"/>
          <w:sz w:val="24"/>
          <w:szCs w:val="24"/>
        </w:rPr>
        <w:t xml:space="preserve">. Por sua vez a Resolução n.º 91/2023 posiciona </w:t>
      </w:r>
      <w:r w:rsidRPr="008B5A40">
        <w:rPr>
          <w:rFonts w:ascii="Arial" w:hAnsi="Arial" w:cs="Arial"/>
          <w:sz w:val="24"/>
          <w:szCs w:val="24"/>
        </w:rPr>
        <w:t>o Estado como ator estratégico central, responsável p</w:t>
      </w:r>
      <w:r w:rsidR="00762345">
        <w:rPr>
          <w:rFonts w:ascii="Arial" w:hAnsi="Arial" w:cs="Arial"/>
          <w:sz w:val="24"/>
          <w:szCs w:val="24"/>
        </w:rPr>
        <w:t>ela</w:t>
      </w:r>
      <w:r w:rsidRPr="008B5A40">
        <w:rPr>
          <w:rFonts w:ascii="Arial" w:hAnsi="Arial" w:cs="Arial"/>
          <w:sz w:val="24"/>
          <w:szCs w:val="24"/>
        </w:rPr>
        <w:t xml:space="preserve"> defini</w:t>
      </w:r>
      <w:r w:rsidR="00762345">
        <w:rPr>
          <w:rFonts w:ascii="Arial" w:hAnsi="Arial" w:cs="Arial"/>
          <w:sz w:val="24"/>
          <w:szCs w:val="24"/>
        </w:rPr>
        <w:t>ção</w:t>
      </w:r>
      <w:r w:rsidRPr="008B5A40">
        <w:rPr>
          <w:rFonts w:ascii="Arial" w:hAnsi="Arial" w:cs="Arial"/>
          <w:sz w:val="24"/>
          <w:szCs w:val="24"/>
        </w:rPr>
        <w:t xml:space="preserve"> </w:t>
      </w:r>
      <w:r w:rsidR="00762345">
        <w:rPr>
          <w:rFonts w:ascii="Arial" w:hAnsi="Arial" w:cs="Arial"/>
          <w:sz w:val="24"/>
          <w:szCs w:val="24"/>
        </w:rPr>
        <w:t>d</w:t>
      </w:r>
      <w:r w:rsidRPr="008B5A40">
        <w:rPr>
          <w:rFonts w:ascii="Arial" w:hAnsi="Arial" w:cs="Arial"/>
          <w:sz w:val="24"/>
          <w:szCs w:val="24"/>
        </w:rPr>
        <w:t>a coordenação global.</w:t>
      </w:r>
    </w:p>
    <w:p w14:paraId="0CF521F2" w14:textId="22693EEC" w:rsidR="008B5A40" w:rsidRPr="008B5A40" w:rsidRDefault="008B5A40" w:rsidP="00EE587B">
      <w:pPr>
        <w:spacing w:line="360" w:lineRule="auto"/>
        <w:ind w:firstLine="360"/>
        <w:jc w:val="both"/>
        <w:rPr>
          <w:rFonts w:ascii="Arial" w:hAnsi="Arial" w:cs="Arial"/>
          <w:sz w:val="24"/>
          <w:szCs w:val="24"/>
        </w:rPr>
      </w:pPr>
      <w:r w:rsidRPr="008B5A40">
        <w:rPr>
          <w:rFonts w:ascii="Arial" w:hAnsi="Arial" w:cs="Arial"/>
          <w:sz w:val="24"/>
          <w:szCs w:val="24"/>
        </w:rPr>
        <w:t xml:space="preserve">Conclui-se, portanto, que a EISU </w:t>
      </w:r>
      <w:r w:rsidR="00001969">
        <w:rPr>
          <w:rFonts w:ascii="Arial" w:hAnsi="Arial" w:cs="Arial"/>
          <w:sz w:val="24"/>
          <w:szCs w:val="24"/>
        </w:rPr>
        <w:t>constitui um</w:t>
      </w:r>
      <w:r w:rsidRPr="008B5A40">
        <w:rPr>
          <w:rFonts w:ascii="Arial" w:hAnsi="Arial" w:cs="Arial"/>
          <w:sz w:val="24"/>
          <w:szCs w:val="24"/>
        </w:rPr>
        <w:t xml:space="preserve"> instrumento estratégico de orientação da segurança urbana, </w:t>
      </w:r>
      <w:r w:rsidR="00001969">
        <w:rPr>
          <w:rFonts w:ascii="Arial" w:hAnsi="Arial" w:cs="Arial"/>
          <w:sz w:val="24"/>
          <w:szCs w:val="24"/>
        </w:rPr>
        <w:t>promotor de</w:t>
      </w:r>
      <w:r w:rsidRPr="008B5A40">
        <w:rPr>
          <w:rFonts w:ascii="Arial" w:hAnsi="Arial" w:cs="Arial"/>
          <w:sz w:val="24"/>
          <w:szCs w:val="24"/>
        </w:rPr>
        <w:t xml:space="preserve"> uma abordagem preventiva, integrada e coordenada, </w:t>
      </w:r>
      <w:r w:rsidR="00001969">
        <w:rPr>
          <w:rFonts w:ascii="Arial" w:hAnsi="Arial" w:cs="Arial"/>
          <w:sz w:val="24"/>
          <w:szCs w:val="24"/>
        </w:rPr>
        <w:t xml:space="preserve">sem prejuízo do </w:t>
      </w:r>
      <w:r w:rsidRPr="008B5A40">
        <w:rPr>
          <w:rFonts w:ascii="Arial" w:hAnsi="Arial" w:cs="Arial"/>
          <w:sz w:val="24"/>
          <w:szCs w:val="24"/>
        </w:rPr>
        <w:t xml:space="preserve">quadro jurídico da segurança interna. </w:t>
      </w:r>
      <w:r w:rsidRPr="008B5A40">
        <w:rPr>
          <w:rFonts w:ascii="Arial" w:hAnsi="Arial" w:cs="Arial"/>
          <w:sz w:val="24"/>
          <w:szCs w:val="24"/>
        </w:rPr>
        <w:lastRenderedPageBreak/>
        <w:t>A sua concretização depende da articulação entre diferentes níveis de governação e da mobilização de mecanismos operativos no plano local. É neste contexto que se impõe a análise dos instrumentos locais de segurança urbana, enquanto formas privilegiadas de operacionalização da estratégia ao nível municipal.</w:t>
      </w:r>
    </w:p>
    <w:p w14:paraId="2373DDB1" w14:textId="77777777" w:rsidR="00BF1063" w:rsidRPr="00BF1063" w:rsidRDefault="00BF1063" w:rsidP="00BF1063">
      <w:pPr>
        <w:widowControl/>
        <w:autoSpaceDE/>
        <w:autoSpaceDN/>
        <w:spacing w:line="360" w:lineRule="auto"/>
        <w:jc w:val="both"/>
        <w:rPr>
          <w:rFonts w:ascii="Arial" w:eastAsia="Times New Roman" w:hAnsi="Arial" w:cs="Arial"/>
          <w:color w:val="000000"/>
          <w:sz w:val="24"/>
          <w:szCs w:val="24"/>
          <w:lang w:eastAsia="pt-PT"/>
        </w:rPr>
      </w:pPr>
    </w:p>
    <w:p w14:paraId="40739789" w14:textId="4EB1E3FB" w:rsidR="00EE587B" w:rsidRPr="00EE587B" w:rsidRDefault="006C6404" w:rsidP="00EE587B">
      <w:pPr>
        <w:pStyle w:val="PargrafodaLista"/>
        <w:widowControl/>
        <w:numPr>
          <w:ilvl w:val="0"/>
          <w:numId w:val="45"/>
        </w:numPr>
        <w:autoSpaceDE/>
        <w:autoSpaceDN/>
        <w:spacing w:after="160" w:line="360" w:lineRule="auto"/>
        <w:rPr>
          <w:rFonts w:ascii="Arial" w:eastAsia="Aptos" w:hAnsi="Arial" w:cs="Arial"/>
          <w:b/>
          <w:bCs/>
          <w:kern w:val="2"/>
          <w:sz w:val="24"/>
          <w:szCs w:val="24"/>
          <w14:ligatures w14:val="standardContextual"/>
        </w:rPr>
      </w:pPr>
      <w:r w:rsidRPr="00EE587B">
        <w:rPr>
          <w:rFonts w:ascii="Arial" w:eastAsia="Aptos" w:hAnsi="Arial" w:cs="Arial"/>
          <w:b/>
          <w:bCs/>
          <w:kern w:val="2"/>
          <w:sz w:val="24"/>
          <w:szCs w:val="24"/>
          <w14:ligatures w14:val="standardContextual"/>
        </w:rPr>
        <w:t>Instrumentos Locais de Segurança Urbana: Conselhos Municipais de</w:t>
      </w:r>
      <w:r w:rsidR="00EE587B" w:rsidRPr="00EE587B">
        <w:rPr>
          <w:rFonts w:ascii="Arial" w:eastAsia="Aptos" w:hAnsi="Arial" w:cs="Arial"/>
          <w:b/>
          <w:bCs/>
          <w:kern w:val="2"/>
          <w:sz w:val="24"/>
          <w:szCs w:val="24"/>
          <w14:ligatures w14:val="standardContextual"/>
        </w:rPr>
        <w:t xml:space="preserve"> </w:t>
      </w:r>
      <w:r w:rsidRPr="00EE587B">
        <w:rPr>
          <w:rFonts w:ascii="Arial" w:eastAsia="Aptos" w:hAnsi="Arial" w:cs="Arial"/>
          <w:b/>
          <w:bCs/>
          <w:kern w:val="2"/>
          <w:sz w:val="24"/>
          <w:szCs w:val="24"/>
          <w14:ligatures w14:val="standardContextual"/>
        </w:rPr>
        <w:t>Segurança (CMS) e Contratos Locais de Segurança (CLS)</w:t>
      </w:r>
    </w:p>
    <w:p w14:paraId="21D84DEB" w14:textId="30ECDB70" w:rsidR="005429B0" w:rsidRPr="00EE587B" w:rsidRDefault="005429B0" w:rsidP="00EE587B">
      <w:pPr>
        <w:pStyle w:val="PargrafodaLista"/>
        <w:numPr>
          <w:ilvl w:val="1"/>
          <w:numId w:val="45"/>
        </w:numPr>
        <w:spacing w:line="360" w:lineRule="auto"/>
        <w:jc w:val="both"/>
        <w:rPr>
          <w:rFonts w:ascii="Arial" w:hAnsi="Arial" w:cs="Arial"/>
          <w:b/>
          <w:bCs/>
          <w:sz w:val="24"/>
          <w:szCs w:val="24"/>
        </w:rPr>
      </w:pPr>
      <w:r w:rsidRPr="00EE587B">
        <w:rPr>
          <w:rFonts w:ascii="Arial" w:hAnsi="Arial" w:cs="Arial"/>
          <w:b/>
          <w:bCs/>
          <w:sz w:val="24"/>
          <w:szCs w:val="24"/>
        </w:rPr>
        <w:t>Enquadramento jurídico-político das políticas públicas de segurança</w:t>
      </w:r>
    </w:p>
    <w:p w14:paraId="0231F90E" w14:textId="77777777" w:rsidR="005429B0" w:rsidRPr="005429B0" w:rsidRDefault="005429B0" w:rsidP="00EE587B">
      <w:pPr>
        <w:spacing w:line="360" w:lineRule="auto"/>
        <w:ind w:firstLine="360"/>
        <w:jc w:val="both"/>
        <w:rPr>
          <w:rFonts w:ascii="Arial" w:hAnsi="Arial" w:cs="Arial"/>
          <w:sz w:val="24"/>
          <w:szCs w:val="24"/>
        </w:rPr>
      </w:pPr>
      <w:r w:rsidRPr="005429B0">
        <w:rPr>
          <w:rFonts w:ascii="Arial" w:hAnsi="Arial" w:cs="Arial"/>
          <w:sz w:val="24"/>
          <w:szCs w:val="24"/>
        </w:rPr>
        <w:t>Com os fenómenos de insegurança nas sociedades contemporâneas cada vez mais multifacetados, em razão dos processos de urbanização intensiva, fragmentação social e também da proliferação de novos riscos, tem-se caminhado, paulatinamente, para uma reconfiguração das políticas públicas de segurança, em particular ao nível local. Neste contexto, os Conselhos Municipais de Segurança (CMS) e os Contratos Locais de Segurança (CLS) consolidam-se como instrumentos jurídico-institucionais vitais na operacionalização territorial das políticas de segurança em Portugal, enquadrados numa lógica de governação integrada e multinível.</w:t>
      </w:r>
    </w:p>
    <w:p w14:paraId="522C48E7" w14:textId="3C6A01EE" w:rsidR="005429B0" w:rsidRPr="005429B0" w:rsidRDefault="005429B0" w:rsidP="00EE587B">
      <w:pPr>
        <w:spacing w:line="360" w:lineRule="auto"/>
        <w:ind w:firstLine="360"/>
        <w:jc w:val="both"/>
        <w:rPr>
          <w:rFonts w:ascii="Arial" w:hAnsi="Arial" w:cs="Arial"/>
          <w:sz w:val="24"/>
          <w:szCs w:val="24"/>
        </w:rPr>
      </w:pPr>
      <w:r w:rsidRPr="005429B0">
        <w:rPr>
          <w:rFonts w:ascii="Arial" w:hAnsi="Arial" w:cs="Arial"/>
          <w:sz w:val="24"/>
          <w:szCs w:val="24"/>
        </w:rPr>
        <w:t>A evolução das Políticas Públicas de Segurança (PPS) consubstancia-se no gradual abandono de um paradigma que se apresentava exclusivamente repressivo, para modelos que priorizam a prevenção, a proximidade, a cooperação interinstitucional e a coprodução de segurança. Segundo Palhau</w:t>
      </w:r>
      <w:r w:rsidR="0035024C">
        <w:rPr>
          <w:rFonts w:ascii="Arial" w:hAnsi="Arial" w:cs="Arial"/>
          <w:sz w:val="24"/>
          <w:szCs w:val="24"/>
        </w:rPr>
        <w:t xml:space="preserve"> (2017)</w:t>
      </w:r>
      <w:r w:rsidRPr="005429B0">
        <w:rPr>
          <w:rFonts w:ascii="Arial" w:hAnsi="Arial" w:cs="Arial"/>
          <w:sz w:val="24"/>
          <w:szCs w:val="24"/>
        </w:rPr>
        <w:t>, a segurança constitui hoje um fenómeno multicausal em termos de estrutura, cuja resposta jurídico-política exige uma articulação entre diferentes domínios de intervenção pública, nomeadamente sociais, educativos, urbanísticos e policiais, o que impõe uma lógica de governação integrada ao longo de todo o ciclo da política pública.</w:t>
      </w:r>
    </w:p>
    <w:p w14:paraId="07F5B651" w14:textId="77777777" w:rsidR="005429B0" w:rsidRPr="005429B0" w:rsidRDefault="005429B0" w:rsidP="00EE587B">
      <w:pPr>
        <w:spacing w:line="360" w:lineRule="auto"/>
        <w:ind w:firstLine="360"/>
        <w:jc w:val="both"/>
        <w:rPr>
          <w:rFonts w:ascii="Arial" w:hAnsi="Arial" w:cs="Arial"/>
          <w:sz w:val="24"/>
          <w:szCs w:val="24"/>
        </w:rPr>
      </w:pPr>
      <w:r w:rsidRPr="006B439D">
        <w:rPr>
          <w:rFonts w:ascii="Arial" w:hAnsi="Arial" w:cs="Arial"/>
          <w:sz w:val="24"/>
          <w:szCs w:val="24"/>
        </w:rPr>
        <w:t xml:space="preserve">A doutrina nacional tem também salientado o facto de os instrumentos locais de segurança, com foco particular nos Contratos Locais de Segurança, constituírem mecanismos de territorialização das políticas públicas de segurança, o que permite responder, ao nível municipal, a riscos que são produzidos globalmente, mas que são vividos localmente e, nesse sentido, </w:t>
      </w:r>
      <w:r w:rsidRPr="006B439D">
        <w:rPr>
          <w:rFonts w:ascii="Arial" w:hAnsi="Arial" w:cs="Arial"/>
          <w:sz w:val="24"/>
          <w:szCs w:val="24"/>
        </w:rPr>
        <w:lastRenderedPageBreak/>
        <w:t>percecionados pelas populações (Araújo, 2018, pp. 70-80).</w:t>
      </w:r>
    </w:p>
    <w:p w14:paraId="785FF739" w14:textId="77777777" w:rsidR="005429B0" w:rsidRPr="005429B0" w:rsidRDefault="005429B0" w:rsidP="00EE587B">
      <w:pPr>
        <w:spacing w:line="360" w:lineRule="auto"/>
        <w:ind w:firstLine="360"/>
        <w:jc w:val="both"/>
        <w:rPr>
          <w:rFonts w:ascii="Arial" w:hAnsi="Arial" w:cs="Arial"/>
          <w:sz w:val="24"/>
          <w:szCs w:val="24"/>
        </w:rPr>
      </w:pPr>
      <w:r w:rsidRPr="00D34C02">
        <w:rPr>
          <w:rFonts w:ascii="Arial" w:hAnsi="Arial" w:cs="Arial"/>
          <w:sz w:val="24"/>
          <w:szCs w:val="24"/>
        </w:rPr>
        <w:t>É neste quadro que os CMS emergem como espaços formais de articulação institucional, direcionados para a partilha de informação, análise da realidade securitária municipal e legitimação democrática das opções de política pública, com a doutrina e os instrumentos estratégicos do Estado a serem consensuais ao determinar que a sua função é essencialmente consultiva e cooperativa.</w:t>
      </w:r>
    </w:p>
    <w:p w14:paraId="49227644" w14:textId="77777777" w:rsidR="005429B0" w:rsidRPr="005429B0" w:rsidRDefault="005429B0" w:rsidP="005429B0">
      <w:pPr>
        <w:spacing w:line="360" w:lineRule="auto"/>
        <w:jc w:val="both"/>
        <w:rPr>
          <w:rFonts w:ascii="Arial" w:hAnsi="Arial" w:cs="Arial"/>
          <w:b/>
          <w:bCs/>
          <w:sz w:val="24"/>
          <w:szCs w:val="24"/>
        </w:rPr>
      </w:pPr>
    </w:p>
    <w:p w14:paraId="46DA33EE" w14:textId="495EFE92" w:rsidR="005429B0" w:rsidRPr="00EE587B" w:rsidRDefault="005429B0" w:rsidP="00EE587B">
      <w:pPr>
        <w:pStyle w:val="PargrafodaLista"/>
        <w:numPr>
          <w:ilvl w:val="1"/>
          <w:numId w:val="45"/>
        </w:numPr>
        <w:spacing w:line="360" w:lineRule="auto"/>
        <w:jc w:val="both"/>
        <w:rPr>
          <w:rFonts w:ascii="Arial" w:hAnsi="Arial" w:cs="Arial"/>
          <w:b/>
          <w:bCs/>
          <w:sz w:val="24"/>
          <w:szCs w:val="24"/>
        </w:rPr>
      </w:pPr>
      <w:r w:rsidRPr="00EE587B">
        <w:rPr>
          <w:rFonts w:ascii="Arial" w:hAnsi="Arial" w:cs="Arial"/>
          <w:b/>
          <w:bCs/>
          <w:sz w:val="24"/>
          <w:szCs w:val="24"/>
        </w:rPr>
        <w:t>Natureza jurídica e funções dos CMS e dos CLS</w:t>
      </w:r>
    </w:p>
    <w:p w14:paraId="3C071245" w14:textId="77777777" w:rsidR="005429B0" w:rsidRPr="005429B0" w:rsidRDefault="005429B0" w:rsidP="00EE587B">
      <w:pPr>
        <w:spacing w:line="360" w:lineRule="auto"/>
        <w:ind w:firstLine="360"/>
        <w:jc w:val="both"/>
        <w:rPr>
          <w:rFonts w:ascii="Arial" w:hAnsi="Arial" w:cs="Arial"/>
          <w:sz w:val="24"/>
          <w:szCs w:val="24"/>
        </w:rPr>
      </w:pPr>
      <w:r w:rsidRPr="005429B0">
        <w:rPr>
          <w:rFonts w:ascii="Arial" w:hAnsi="Arial" w:cs="Arial"/>
          <w:sz w:val="24"/>
          <w:szCs w:val="24"/>
        </w:rPr>
        <w:t>Os Conselhos Municipais de Segurança (CMS) consubstanciam-se como órgãos de natureza consultiva, enquadrados, em termos jurídicos, no âmbito da administração local, com o propósito de promover a participação dos diversos atores institucionais e sociais na análise e acompanhamento das questões referentes à segurança ao nível municipal. A sua composição plural reflete uma conceção alargada de segurança enquanto bem jurídico coletivo.</w:t>
      </w:r>
    </w:p>
    <w:p w14:paraId="7654AE9D" w14:textId="77777777" w:rsidR="005429B0" w:rsidRPr="005429B0" w:rsidRDefault="005429B0" w:rsidP="00EE587B">
      <w:pPr>
        <w:spacing w:line="360" w:lineRule="auto"/>
        <w:ind w:firstLine="360"/>
        <w:jc w:val="both"/>
        <w:rPr>
          <w:rFonts w:ascii="Arial" w:hAnsi="Arial" w:cs="Arial"/>
          <w:sz w:val="24"/>
          <w:szCs w:val="24"/>
        </w:rPr>
      </w:pPr>
      <w:r w:rsidRPr="005429B0">
        <w:rPr>
          <w:rFonts w:ascii="Arial" w:hAnsi="Arial" w:cs="Arial"/>
          <w:sz w:val="24"/>
          <w:szCs w:val="24"/>
        </w:rPr>
        <w:t xml:space="preserve">Apesar dos CMS não disporem de competências executivas, exercem funções relevantes tanto ao nível do diagnóstico da situação de segurança, como da emissão de pareceres e recomendações e, também, da promoção da articulação institucional. </w:t>
      </w:r>
      <w:r w:rsidRPr="00D34C02">
        <w:rPr>
          <w:rFonts w:ascii="Arial" w:hAnsi="Arial" w:cs="Arial"/>
          <w:sz w:val="24"/>
          <w:szCs w:val="24"/>
        </w:rPr>
        <w:t>A sua importância jurídico-institucional dá-se em razão de funcionarem como órgãos locais de participação e legitimação democrática da governação da segurança, sem qualquer fragmentação da titularidade estatal da função de segurança (Araújo, 2018, pp. 82-85).</w:t>
      </w:r>
    </w:p>
    <w:p w14:paraId="29BBBD2A" w14:textId="77777777" w:rsidR="005429B0" w:rsidRPr="005429B0" w:rsidRDefault="005429B0" w:rsidP="00EE587B">
      <w:pPr>
        <w:spacing w:line="360" w:lineRule="auto"/>
        <w:ind w:firstLine="360"/>
        <w:jc w:val="both"/>
        <w:rPr>
          <w:rFonts w:ascii="Arial" w:hAnsi="Arial" w:cs="Arial"/>
          <w:sz w:val="24"/>
          <w:szCs w:val="24"/>
        </w:rPr>
      </w:pPr>
      <w:r w:rsidRPr="00D34C02">
        <w:rPr>
          <w:rFonts w:ascii="Arial" w:hAnsi="Arial" w:cs="Arial"/>
          <w:sz w:val="24"/>
          <w:szCs w:val="24"/>
        </w:rPr>
        <w:t>A recente evolução das políticas públicas de segurança, nomeadamente no quadro da EISU, tem vindo a consolidar o papel dos CMS, estando prevista uma atuação em formatos distintos e uma composição mais alargada, que integra entidades da sociedade civil e freguesias, refletindo uma conceção mais lata e abrangente de segurança urbana.</w:t>
      </w:r>
    </w:p>
    <w:p w14:paraId="2254BF1D" w14:textId="77777777" w:rsidR="005429B0" w:rsidRPr="005429B0" w:rsidRDefault="005429B0" w:rsidP="00EE587B">
      <w:pPr>
        <w:spacing w:line="360" w:lineRule="auto"/>
        <w:ind w:firstLine="360"/>
        <w:jc w:val="both"/>
        <w:rPr>
          <w:rFonts w:ascii="Arial" w:hAnsi="Arial" w:cs="Arial"/>
          <w:sz w:val="24"/>
          <w:szCs w:val="24"/>
        </w:rPr>
      </w:pPr>
      <w:r w:rsidRPr="005429B0">
        <w:rPr>
          <w:rFonts w:ascii="Arial" w:hAnsi="Arial" w:cs="Arial"/>
          <w:sz w:val="24"/>
          <w:szCs w:val="24"/>
        </w:rPr>
        <w:t>Os Contratos Locais de Segurança (CLS), por sua vez, comportam uma natureza jurídico-administrativa de instrumentos de cooperação interinstitucional, celebrados entre o Estado, os municípios e outros parceiros relevantes. Criados em 2008 e reformulados a partir de 2016, os CLS apresentam-se como mecanismos privilegiados de concretização territorial das PPS (Amante &amp; Saraiva, 2019).</w:t>
      </w:r>
    </w:p>
    <w:p w14:paraId="2834809F" w14:textId="77777777" w:rsidR="005429B0" w:rsidRPr="005429B0" w:rsidRDefault="005429B0" w:rsidP="00EE587B">
      <w:pPr>
        <w:spacing w:line="360" w:lineRule="auto"/>
        <w:ind w:firstLine="360"/>
        <w:jc w:val="both"/>
        <w:rPr>
          <w:rFonts w:ascii="Arial" w:hAnsi="Arial" w:cs="Arial"/>
          <w:sz w:val="24"/>
          <w:szCs w:val="24"/>
        </w:rPr>
      </w:pPr>
      <w:r w:rsidRPr="00EE1321">
        <w:rPr>
          <w:rFonts w:ascii="Arial" w:hAnsi="Arial" w:cs="Arial"/>
          <w:sz w:val="24"/>
          <w:szCs w:val="24"/>
        </w:rPr>
        <w:t xml:space="preserve">Nos termos mencionados na literatura, a elaboração dos CLS assenta num </w:t>
      </w:r>
      <w:r w:rsidRPr="00EE1321">
        <w:rPr>
          <w:rFonts w:ascii="Arial" w:hAnsi="Arial" w:cs="Arial"/>
          <w:sz w:val="24"/>
          <w:szCs w:val="24"/>
        </w:rPr>
        <w:lastRenderedPageBreak/>
        <w:t>Diagnóstico Local de Segurança, o qual desempenha uma função jurídico-técnica essencial, pois procede à fundamentação da definição de prioridades, o que garante a racionalidade, proporcionalidade e respetiva adequação territorial das medidas adotadas (Araújo, 2018, pp. 89-103).</w:t>
      </w:r>
    </w:p>
    <w:p w14:paraId="01371960" w14:textId="77777777" w:rsidR="005429B0" w:rsidRPr="005429B0" w:rsidRDefault="005429B0" w:rsidP="00EE587B">
      <w:pPr>
        <w:spacing w:line="360" w:lineRule="auto"/>
        <w:ind w:firstLine="360"/>
        <w:jc w:val="both"/>
        <w:rPr>
          <w:rFonts w:ascii="Arial" w:hAnsi="Arial" w:cs="Arial"/>
          <w:sz w:val="24"/>
          <w:szCs w:val="24"/>
        </w:rPr>
      </w:pPr>
      <w:r w:rsidRPr="00EE1321">
        <w:rPr>
          <w:rFonts w:ascii="Arial" w:hAnsi="Arial" w:cs="Arial"/>
          <w:sz w:val="24"/>
          <w:szCs w:val="24"/>
        </w:rPr>
        <w:t>É importante destacar que a evolução dos CLS demonstra uma distinção tipológica entre modelos mais iniciais, com o foco numa articulação bilateral, Estado-autarquias, e os modelos mais recentes, caracterizados por uma natureza multissetorial e interministerial, com uma consolidação explícita no âmbito da EISU.</w:t>
      </w:r>
    </w:p>
    <w:p w14:paraId="410702BA" w14:textId="77777777" w:rsidR="005429B0" w:rsidRPr="005429B0" w:rsidRDefault="005429B0" w:rsidP="005429B0">
      <w:pPr>
        <w:spacing w:line="360" w:lineRule="auto"/>
        <w:jc w:val="both"/>
        <w:rPr>
          <w:rFonts w:ascii="Arial" w:hAnsi="Arial" w:cs="Arial"/>
          <w:b/>
          <w:bCs/>
          <w:sz w:val="24"/>
          <w:szCs w:val="24"/>
        </w:rPr>
      </w:pPr>
    </w:p>
    <w:p w14:paraId="40745E4F" w14:textId="035A9A02" w:rsidR="005429B0" w:rsidRPr="00EE587B" w:rsidRDefault="005429B0" w:rsidP="00EE587B">
      <w:pPr>
        <w:pStyle w:val="PargrafodaLista"/>
        <w:numPr>
          <w:ilvl w:val="1"/>
          <w:numId w:val="45"/>
        </w:numPr>
        <w:spacing w:line="360" w:lineRule="auto"/>
        <w:jc w:val="both"/>
        <w:rPr>
          <w:rFonts w:ascii="Arial" w:hAnsi="Arial" w:cs="Arial"/>
          <w:b/>
          <w:bCs/>
          <w:sz w:val="24"/>
          <w:szCs w:val="24"/>
        </w:rPr>
      </w:pPr>
      <w:r w:rsidRPr="00EE587B">
        <w:rPr>
          <w:rFonts w:ascii="Arial" w:hAnsi="Arial" w:cs="Arial"/>
          <w:b/>
          <w:bCs/>
          <w:sz w:val="24"/>
          <w:szCs w:val="24"/>
        </w:rPr>
        <w:t>Complementaridade funcional e relevância jurídico-institucional para a segurança urbana</w:t>
      </w:r>
    </w:p>
    <w:p w14:paraId="4B52E453" w14:textId="77777777" w:rsidR="005429B0" w:rsidRPr="005429B0" w:rsidRDefault="005429B0" w:rsidP="00EE587B">
      <w:pPr>
        <w:spacing w:line="360" w:lineRule="auto"/>
        <w:ind w:firstLine="360"/>
        <w:jc w:val="both"/>
        <w:rPr>
          <w:rFonts w:ascii="Arial" w:hAnsi="Arial" w:cs="Arial"/>
          <w:sz w:val="24"/>
          <w:szCs w:val="24"/>
        </w:rPr>
      </w:pPr>
      <w:r w:rsidRPr="005429B0">
        <w:rPr>
          <w:rFonts w:ascii="Arial" w:hAnsi="Arial" w:cs="Arial"/>
          <w:sz w:val="24"/>
          <w:szCs w:val="24"/>
        </w:rPr>
        <w:t>A eficácia dos instrumentos locais no âmbito da segurança urbana advém da complementaridade em termos funcionais entre CMS e CLS. Ao passo que os CMS assumem funções essencialmente estratégicas, consultivas e participativas, os CLS procedem à concretização dessas orientações mediante uma intervenção operacional estruturada.</w:t>
      </w:r>
    </w:p>
    <w:p w14:paraId="460E2602" w14:textId="77777777" w:rsidR="005429B0" w:rsidRPr="005429B0" w:rsidRDefault="005429B0" w:rsidP="00EE587B">
      <w:pPr>
        <w:spacing w:line="360" w:lineRule="auto"/>
        <w:ind w:firstLine="360"/>
        <w:jc w:val="both"/>
        <w:rPr>
          <w:rFonts w:ascii="Arial" w:hAnsi="Arial" w:cs="Arial"/>
          <w:sz w:val="24"/>
          <w:szCs w:val="24"/>
        </w:rPr>
      </w:pPr>
      <w:r w:rsidRPr="005429B0">
        <w:rPr>
          <w:rFonts w:ascii="Arial" w:hAnsi="Arial" w:cs="Arial"/>
          <w:sz w:val="24"/>
          <w:szCs w:val="24"/>
        </w:rPr>
        <w:t>Esta articulação abre espaço para um maior alinhamento entre diagnóstico e intervenção, para o reforço da coordenação interinstitucional e contribui, ainda, para a eficácia e legitimidade jurídico-política das políticas locais de segurança. A intervenção dos CLS recai sobre áreas como a violência doméstica, a exclusão social, a prevenção da delinquência juvenil, a requalificação do espaço urbano e o policiamento de proximidade.</w:t>
      </w:r>
    </w:p>
    <w:p w14:paraId="27D4FD1C" w14:textId="6B6DAF35" w:rsidR="005429B0" w:rsidRPr="00215C54" w:rsidRDefault="005429B0" w:rsidP="00EE587B">
      <w:pPr>
        <w:spacing w:line="360" w:lineRule="auto"/>
        <w:ind w:firstLine="360"/>
        <w:jc w:val="both"/>
        <w:rPr>
          <w:rFonts w:ascii="Arial" w:hAnsi="Arial" w:cs="Arial"/>
          <w:sz w:val="24"/>
          <w:szCs w:val="24"/>
        </w:rPr>
      </w:pPr>
      <w:r w:rsidRPr="00215C54">
        <w:rPr>
          <w:rFonts w:ascii="Arial" w:hAnsi="Arial" w:cs="Arial"/>
          <w:sz w:val="24"/>
          <w:szCs w:val="24"/>
        </w:rPr>
        <w:t xml:space="preserve">Neste contexto, a correlação entre CMS e CLS traduz-se na aplicação prática de um modelo de governação integrada e de coprodução de segurança, </w:t>
      </w:r>
      <w:r w:rsidR="00A63724" w:rsidRPr="00215C54">
        <w:rPr>
          <w:rFonts w:ascii="Arial" w:hAnsi="Arial" w:cs="Arial"/>
          <w:sz w:val="24"/>
          <w:szCs w:val="24"/>
        </w:rPr>
        <w:t>na qual a</w:t>
      </w:r>
      <w:r w:rsidRPr="00215C54">
        <w:rPr>
          <w:rFonts w:ascii="Arial" w:hAnsi="Arial" w:cs="Arial"/>
          <w:sz w:val="24"/>
          <w:szCs w:val="24"/>
        </w:rPr>
        <w:t xml:space="preserve"> proximidade territorial e a cooperação interinstitucional </w:t>
      </w:r>
      <w:r w:rsidR="00A63724" w:rsidRPr="00215C54">
        <w:rPr>
          <w:rFonts w:ascii="Arial" w:hAnsi="Arial" w:cs="Arial"/>
          <w:sz w:val="24"/>
          <w:szCs w:val="24"/>
        </w:rPr>
        <w:t xml:space="preserve">se desenvolvem </w:t>
      </w:r>
      <w:r w:rsidRPr="00215C54">
        <w:rPr>
          <w:rFonts w:ascii="Arial" w:hAnsi="Arial" w:cs="Arial"/>
          <w:sz w:val="24"/>
          <w:szCs w:val="24"/>
        </w:rPr>
        <w:t>sem colocar em causa a unidade do Sistema de Segurança Interna, nem tão pouco o monopólio estatal do uso legítimo da força (Araújo, 2018, pp. 211-214).</w:t>
      </w:r>
    </w:p>
    <w:p w14:paraId="30FEE19B" w14:textId="4CA8EAC1" w:rsidR="005429B0" w:rsidRPr="005429B0" w:rsidRDefault="00A63724" w:rsidP="00EE587B">
      <w:pPr>
        <w:spacing w:line="360" w:lineRule="auto"/>
        <w:ind w:firstLine="360"/>
        <w:jc w:val="both"/>
        <w:rPr>
          <w:rFonts w:ascii="Arial" w:hAnsi="Arial" w:cs="Arial"/>
          <w:sz w:val="24"/>
          <w:szCs w:val="24"/>
        </w:rPr>
      </w:pPr>
      <w:r w:rsidRPr="00215C54">
        <w:rPr>
          <w:rFonts w:ascii="Arial" w:hAnsi="Arial" w:cs="Arial"/>
          <w:sz w:val="24"/>
          <w:szCs w:val="24"/>
        </w:rPr>
        <w:t>Deste modo a</w:t>
      </w:r>
      <w:r w:rsidR="005429B0" w:rsidRPr="00215C54">
        <w:rPr>
          <w:rFonts w:ascii="Arial" w:hAnsi="Arial" w:cs="Arial"/>
          <w:sz w:val="24"/>
          <w:szCs w:val="24"/>
        </w:rPr>
        <w:t xml:space="preserve"> doutrina e os instrumentos estratégicos nacionais convergem no reconhecimento de que a segurança urbana deve ser vista como um problema de notória complexidade, o que exige respostas integradas e coordenadas, sendo que nessas respostas os CMS funcionam como espaços de diagnóstico e legitimação e os CLS como instrumentos operativos de</w:t>
      </w:r>
      <w:r w:rsidR="00EE587B">
        <w:rPr>
          <w:rFonts w:ascii="Arial" w:hAnsi="Arial" w:cs="Arial"/>
          <w:sz w:val="24"/>
          <w:szCs w:val="24"/>
        </w:rPr>
        <w:t xml:space="preserve"> </w:t>
      </w:r>
      <w:r w:rsidR="005429B0" w:rsidRPr="00215C54">
        <w:rPr>
          <w:rFonts w:ascii="Arial" w:hAnsi="Arial" w:cs="Arial"/>
          <w:sz w:val="24"/>
          <w:szCs w:val="24"/>
        </w:rPr>
        <w:lastRenderedPageBreak/>
        <w:t>intervenção territorial.</w:t>
      </w:r>
    </w:p>
    <w:p w14:paraId="6089DC4E" w14:textId="77777777" w:rsidR="005429B0" w:rsidRPr="00747002" w:rsidRDefault="005429B0" w:rsidP="005429B0">
      <w:pPr>
        <w:spacing w:line="360" w:lineRule="auto"/>
        <w:jc w:val="both"/>
        <w:rPr>
          <w:rFonts w:ascii="Arial" w:hAnsi="Arial" w:cs="Arial"/>
        </w:rPr>
      </w:pPr>
    </w:p>
    <w:p w14:paraId="5E22942D" w14:textId="609B45BC" w:rsidR="00BF1063" w:rsidRPr="00EE587B" w:rsidRDefault="00BF1063" w:rsidP="00EE587B">
      <w:pPr>
        <w:pStyle w:val="PargrafodaLista"/>
        <w:widowControl/>
        <w:numPr>
          <w:ilvl w:val="0"/>
          <w:numId w:val="45"/>
        </w:numPr>
        <w:autoSpaceDE/>
        <w:autoSpaceDN/>
        <w:spacing w:line="360" w:lineRule="auto"/>
        <w:rPr>
          <w:rFonts w:ascii="Arial" w:eastAsia="Times New Roman" w:hAnsi="Arial" w:cs="Arial"/>
          <w:color w:val="000000"/>
          <w:sz w:val="24"/>
          <w:szCs w:val="24"/>
          <w:lang w:eastAsia="pt-PT"/>
        </w:rPr>
      </w:pPr>
      <w:r w:rsidRPr="00EE587B">
        <w:rPr>
          <w:rFonts w:ascii="Arial" w:eastAsia="Times New Roman" w:hAnsi="Arial" w:cs="Arial"/>
          <w:b/>
          <w:bCs/>
          <w:color w:val="000000"/>
          <w:sz w:val="24"/>
          <w:szCs w:val="24"/>
          <w:lang w:eastAsia="pt-PT"/>
        </w:rPr>
        <w:t>Segurança urbana e descentralização: alcance e limites</w:t>
      </w:r>
    </w:p>
    <w:p w14:paraId="649F7902" w14:textId="109E4376" w:rsidR="005429B0" w:rsidRPr="005429B0" w:rsidRDefault="00A63025" w:rsidP="00EE587B">
      <w:pPr>
        <w:spacing w:line="360" w:lineRule="auto"/>
        <w:ind w:firstLine="360"/>
        <w:jc w:val="both"/>
        <w:rPr>
          <w:rFonts w:ascii="Arial" w:eastAsia="Times New Roman" w:hAnsi="Arial" w:cs="Arial"/>
          <w:color w:val="000000"/>
          <w:sz w:val="24"/>
          <w:szCs w:val="24"/>
          <w:lang w:eastAsia="pt-PT"/>
        </w:rPr>
      </w:pPr>
      <w:r>
        <w:rPr>
          <w:rFonts w:ascii="Arial" w:eastAsia="Times New Roman" w:hAnsi="Arial" w:cs="Arial"/>
          <w:color w:val="000000"/>
          <w:sz w:val="24"/>
          <w:szCs w:val="24"/>
          <w:lang w:eastAsia="pt-PT"/>
        </w:rPr>
        <w:t>O</w:t>
      </w:r>
      <w:r w:rsidR="003A1C68">
        <w:rPr>
          <w:rFonts w:ascii="Arial" w:eastAsia="Times New Roman" w:hAnsi="Arial" w:cs="Arial"/>
          <w:color w:val="000000"/>
          <w:sz w:val="24"/>
          <w:szCs w:val="24"/>
          <w:lang w:eastAsia="pt-PT"/>
        </w:rPr>
        <w:t xml:space="preserve"> enquadramento funcional dos</w:t>
      </w:r>
      <w:r w:rsidR="005429B0" w:rsidRPr="00215C54">
        <w:rPr>
          <w:rFonts w:ascii="Arial" w:eastAsia="Times New Roman" w:hAnsi="Arial" w:cs="Arial"/>
          <w:color w:val="000000"/>
          <w:sz w:val="24"/>
          <w:szCs w:val="24"/>
          <w:lang w:eastAsia="pt-PT"/>
        </w:rPr>
        <w:t xml:space="preserve"> Conselhos Municipais de Segurança e os Contratos Locais de Segurança, enquanto instrumentos de territorialização das políticas públicas de segurança, determina</w:t>
      </w:r>
      <w:r>
        <w:rPr>
          <w:rFonts w:ascii="Arial" w:eastAsia="Times New Roman" w:hAnsi="Arial" w:cs="Arial"/>
          <w:color w:val="000000"/>
          <w:sz w:val="24"/>
          <w:szCs w:val="24"/>
          <w:lang w:eastAsia="pt-PT"/>
        </w:rPr>
        <w:t>m</w:t>
      </w:r>
      <w:r w:rsidR="005429B0" w:rsidRPr="00215C54">
        <w:rPr>
          <w:rFonts w:ascii="Arial" w:eastAsia="Times New Roman" w:hAnsi="Arial" w:cs="Arial"/>
          <w:color w:val="000000"/>
          <w:sz w:val="24"/>
          <w:szCs w:val="24"/>
          <w:lang w:eastAsia="pt-PT"/>
        </w:rPr>
        <w:t xml:space="preserve"> uma reflexão jurídica sobre se, e em que medida, estas soluções configuram uma forma de descentralização da segurança.</w:t>
      </w:r>
    </w:p>
    <w:p w14:paraId="54F224B5" w14:textId="77777777" w:rsidR="005429B0" w:rsidRPr="005429B0" w:rsidRDefault="005429B0" w:rsidP="00EE587B">
      <w:pPr>
        <w:spacing w:line="360" w:lineRule="auto"/>
        <w:ind w:firstLine="360"/>
        <w:jc w:val="both"/>
        <w:rPr>
          <w:rFonts w:ascii="Arial" w:eastAsia="Times New Roman" w:hAnsi="Arial" w:cs="Arial"/>
          <w:color w:val="000000"/>
          <w:sz w:val="24"/>
          <w:szCs w:val="24"/>
          <w:lang w:eastAsia="pt-PT"/>
        </w:rPr>
      </w:pPr>
      <w:r w:rsidRPr="005429B0">
        <w:rPr>
          <w:rFonts w:ascii="Arial" w:eastAsia="Times New Roman" w:hAnsi="Arial" w:cs="Arial"/>
          <w:color w:val="000000"/>
          <w:sz w:val="24"/>
          <w:szCs w:val="24"/>
          <w:lang w:eastAsia="pt-PT"/>
        </w:rPr>
        <w:t>A emergência da segurança urbana levanta a questão da possível descentralização da segurança, o que exige uma análise jurídica rigorosa dos seus limites. No ordenamento jurídico português não existe uma descentralização da função de segurança, nem tão pouco do poder coercivo do Estado. Antes, existe uma descentralização funcional, centrada na partilha de tarefas preventivas e de coordenação. A participação dos municípios deve, neste sentido, ser entendida como complementar e instrumental, dado que a responsabilidade última pela segurança interna permanece no Estado, sujeita aos princípios constitucionais do Estado de Direito.</w:t>
      </w:r>
    </w:p>
    <w:p w14:paraId="68770B91" w14:textId="15485EDD" w:rsidR="005429B0" w:rsidRPr="005429B0" w:rsidRDefault="005429B0" w:rsidP="00EE587B">
      <w:pPr>
        <w:spacing w:line="360" w:lineRule="auto"/>
        <w:ind w:firstLine="360"/>
        <w:jc w:val="both"/>
        <w:rPr>
          <w:rFonts w:ascii="Arial" w:eastAsia="Times New Roman" w:hAnsi="Arial" w:cs="Arial"/>
          <w:color w:val="000000"/>
          <w:sz w:val="24"/>
          <w:szCs w:val="24"/>
          <w:lang w:eastAsia="pt-PT"/>
        </w:rPr>
      </w:pPr>
      <w:r w:rsidRPr="005429B0">
        <w:rPr>
          <w:rFonts w:ascii="Arial" w:eastAsia="Times New Roman" w:hAnsi="Arial" w:cs="Arial"/>
          <w:color w:val="000000"/>
          <w:sz w:val="24"/>
          <w:szCs w:val="24"/>
          <w:lang w:eastAsia="pt-PT"/>
        </w:rPr>
        <w:t>Relativamente à descentralização em Portugal, mais concretamente quanto ao enquadramento constitucional e legal do poder local, tanto Ferreira</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2022) como Monteiro e Horta</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 xml:space="preserve">2018) identificam a Lei n.º 75/2013 </w:t>
      </w:r>
      <w:r w:rsidR="00215C54">
        <w:rPr>
          <w:rFonts w:ascii="Arial" w:eastAsia="Times New Roman" w:hAnsi="Arial" w:cs="Arial"/>
          <w:color w:val="000000"/>
          <w:sz w:val="24"/>
          <w:szCs w:val="24"/>
          <w:lang w:eastAsia="pt-PT"/>
        </w:rPr>
        <w:t xml:space="preserve">de 12 de setembro </w:t>
      </w:r>
      <w:r w:rsidRPr="005429B0">
        <w:rPr>
          <w:rFonts w:ascii="Arial" w:eastAsia="Times New Roman" w:hAnsi="Arial" w:cs="Arial"/>
          <w:color w:val="000000"/>
          <w:sz w:val="24"/>
          <w:szCs w:val="24"/>
          <w:lang w:eastAsia="pt-PT"/>
        </w:rPr>
        <w:t>como o diploma estruturante do modelo de poder local, onde se encontram definidas quer as competências das autarquias, quer o estatuto das entidades intermunicipais, consenso esse que é alargado tanto à ideia de que a descentralização é um processo estruturado juridicamente, assente no quadro constitucional e densificado pela via legislativa, como ao facto das Áreas Metropolitanas (AM) e das Comunidades Intermunicipais (CIM), enquanto escalas intermédias, serem relevantes para as políticas públicas afetas a espaços locais. Monteiro e Horta</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2018) dão ênfase à descentralização enquanto processo operacionalizado por contratualização, enquanto Ferreira</w:t>
      </w:r>
      <w:r w:rsidR="00A63025">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2022) sublinha que se descartam modelos mais colegiais perante uma tendência de centralização de decisão nos Presidentes de Câmara. Neste quadro, a literatura internacional, como Charron e Lapuente</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2018) e Trisman</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2002), têm uma abordagem à descentralização mais instrumental, não havendo, aqui, a mesma densidade jurídico-constitucional que se observa em Portugal.</w:t>
      </w:r>
    </w:p>
    <w:p w14:paraId="3A03B562" w14:textId="6B35E6BB" w:rsidR="005429B0" w:rsidRPr="005429B0" w:rsidRDefault="005429B0" w:rsidP="00EE587B">
      <w:pPr>
        <w:spacing w:line="360" w:lineRule="auto"/>
        <w:ind w:firstLine="360"/>
        <w:jc w:val="both"/>
        <w:rPr>
          <w:rFonts w:ascii="Arial" w:eastAsia="Times New Roman" w:hAnsi="Arial" w:cs="Arial"/>
          <w:color w:val="000000"/>
          <w:sz w:val="24"/>
          <w:szCs w:val="24"/>
          <w:lang w:eastAsia="pt-PT"/>
        </w:rPr>
      </w:pPr>
      <w:r w:rsidRPr="005429B0">
        <w:rPr>
          <w:rFonts w:ascii="Arial" w:eastAsia="Times New Roman" w:hAnsi="Arial" w:cs="Arial"/>
          <w:color w:val="000000"/>
          <w:sz w:val="24"/>
          <w:szCs w:val="24"/>
          <w:lang w:eastAsia="pt-PT"/>
        </w:rPr>
        <w:lastRenderedPageBreak/>
        <w:t>Ao abordarmos as competências em matéria de segurança</w:t>
      </w:r>
      <w:r w:rsidR="00A63025">
        <w:rPr>
          <w:rFonts w:ascii="Arial" w:eastAsia="Times New Roman" w:hAnsi="Arial" w:cs="Arial"/>
          <w:color w:val="000000"/>
          <w:sz w:val="24"/>
          <w:szCs w:val="24"/>
          <w:lang w:eastAsia="pt-PT"/>
        </w:rPr>
        <w:t xml:space="preserve">, designadamente </w:t>
      </w:r>
      <w:r w:rsidRPr="005429B0">
        <w:rPr>
          <w:rFonts w:ascii="Arial" w:eastAsia="Times New Roman" w:hAnsi="Arial" w:cs="Arial"/>
          <w:color w:val="000000"/>
          <w:sz w:val="24"/>
          <w:szCs w:val="24"/>
          <w:lang w:eastAsia="pt-PT"/>
        </w:rPr>
        <w:t xml:space="preserve">o confronto centralização </w:t>
      </w:r>
      <w:proofErr w:type="spellStart"/>
      <w:r w:rsidRPr="005429B0">
        <w:rPr>
          <w:rFonts w:ascii="Arial" w:eastAsia="Times New Roman" w:hAnsi="Arial" w:cs="Arial"/>
          <w:color w:val="000000"/>
          <w:sz w:val="24"/>
          <w:szCs w:val="24"/>
          <w:lang w:eastAsia="pt-PT"/>
        </w:rPr>
        <w:t>vs</w:t>
      </w:r>
      <w:proofErr w:type="spellEnd"/>
      <w:r w:rsidRPr="005429B0">
        <w:rPr>
          <w:rFonts w:ascii="Arial" w:eastAsia="Times New Roman" w:hAnsi="Arial" w:cs="Arial"/>
          <w:color w:val="000000"/>
          <w:sz w:val="24"/>
          <w:szCs w:val="24"/>
          <w:lang w:eastAsia="pt-PT"/>
        </w:rPr>
        <w:t xml:space="preserve"> descentralização, todas as fontes convergem na ideia de que os níveis que operam a uma escala abaixo da nacional têm funções complementares, nomeadamente ligadas à prevenção, proteção civil e gestão do território. Consensual é também o reconhecimento de que a segurança interna permanece uma função maioritariamente centralizada</w:t>
      </w:r>
      <w:r w:rsidRPr="00A63025">
        <w:rPr>
          <w:rFonts w:ascii="Arial" w:eastAsia="Times New Roman" w:hAnsi="Arial" w:cs="Arial"/>
          <w:color w:val="000000"/>
          <w:sz w:val="24"/>
          <w:szCs w:val="24"/>
          <w:lang w:eastAsia="pt-PT"/>
        </w:rPr>
        <w:t xml:space="preserve">, o que </w:t>
      </w:r>
      <w:r w:rsidR="00A63025">
        <w:rPr>
          <w:rFonts w:ascii="Arial" w:eastAsia="Times New Roman" w:hAnsi="Arial" w:cs="Arial"/>
          <w:color w:val="000000"/>
          <w:sz w:val="24"/>
          <w:szCs w:val="24"/>
          <w:lang w:eastAsia="pt-PT"/>
        </w:rPr>
        <w:t xml:space="preserve">se refere </w:t>
      </w:r>
      <w:r w:rsidRPr="00A63025">
        <w:rPr>
          <w:rFonts w:ascii="Arial" w:eastAsia="Times New Roman" w:hAnsi="Arial" w:cs="Arial"/>
          <w:color w:val="000000"/>
          <w:sz w:val="24"/>
          <w:szCs w:val="24"/>
          <w:lang w:eastAsia="pt-PT"/>
        </w:rPr>
        <w:t xml:space="preserve">às </w:t>
      </w:r>
      <w:r w:rsidR="00A63025">
        <w:rPr>
          <w:rFonts w:ascii="Arial" w:eastAsia="Times New Roman" w:hAnsi="Arial" w:cs="Arial"/>
          <w:color w:val="000000"/>
          <w:sz w:val="24"/>
          <w:szCs w:val="24"/>
          <w:lang w:eastAsia="pt-PT"/>
        </w:rPr>
        <w:t>FS</w:t>
      </w:r>
      <w:r w:rsidRPr="00A63025">
        <w:rPr>
          <w:rFonts w:ascii="Arial" w:eastAsia="Times New Roman" w:hAnsi="Arial" w:cs="Arial"/>
          <w:color w:val="000000"/>
          <w:sz w:val="24"/>
          <w:szCs w:val="24"/>
          <w:lang w:eastAsia="pt-PT"/>
        </w:rPr>
        <w:t xml:space="preserve"> e justiça.</w:t>
      </w:r>
      <w:r w:rsidRPr="005429B0">
        <w:rPr>
          <w:rFonts w:ascii="Arial" w:eastAsia="Times New Roman" w:hAnsi="Arial" w:cs="Arial"/>
          <w:color w:val="000000"/>
          <w:sz w:val="24"/>
          <w:szCs w:val="24"/>
          <w:lang w:eastAsia="pt-PT"/>
        </w:rPr>
        <w:t xml:space="preserve"> A este respeito, Ferreira</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2022) refere que as competências locais em matéria de segurança são mais eficazes com coordenação feita à escala metropolitana.</w:t>
      </w:r>
    </w:p>
    <w:p w14:paraId="3B52462C" w14:textId="3034345C" w:rsidR="005429B0" w:rsidRPr="005429B0" w:rsidRDefault="005429B0" w:rsidP="00EE587B">
      <w:pPr>
        <w:spacing w:line="360" w:lineRule="auto"/>
        <w:ind w:firstLine="360"/>
        <w:jc w:val="both"/>
        <w:rPr>
          <w:rFonts w:ascii="Arial" w:eastAsia="Times New Roman" w:hAnsi="Arial" w:cs="Arial"/>
          <w:color w:val="000000"/>
          <w:sz w:val="24"/>
          <w:szCs w:val="24"/>
          <w:lang w:eastAsia="pt-PT"/>
        </w:rPr>
      </w:pPr>
      <w:r w:rsidRPr="005429B0">
        <w:rPr>
          <w:rFonts w:ascii="Arial" w:eastAsia="Times New Roman" w:hAnsi="Arial" w:cs="Arial"/>
          <w:color w:val="000000"/>
          <w:sz w:val="24"/>
          <w:szCs w:val="24"/>
          <w:lang w:eastAsia="pt-PT"/>
        </w:rPr>
        <w:t>Analisando, agora, os benefícios da governação multinível, nomeadamente as questões atinentes à proximidade, adaptabilidade e participação local, é transversal a todos os autores o consenso de que a governação multinível (MLG) reforça a legitimidade democrática, ao aproximar a decisão dos cidadãos, que o conhecimento local é uma vantagem para o ajustamento das políticas de segurança urbana e que a participação comunitária é fomentada por via da proximidade territorial. Em relação a esta questão, Ferreira</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2022) refere-se à MLG como um mecanismo de aprendizagem institucional, o que permite a evolução das estratégias a partir da prática. Já Monteiro e Horta</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2018) atribuem-lhe o papel de promoção da coesão territorial.</w:t>
      </w:r>
    </w:p>
    <w:p w14:paraId="5E5ACA18" w14:textId="1D3E82E1" w:rsidR="005429B0" w:rsidRPr="005429B0" w:rsidRDefault="005429B0" w:rsidP="00EE587B">
      <w:pPr>
        <w:spacing w:line="360" w:lineRule="auto"/>
        <w:ind w:firstLine="360"/>
        <w:jc w:val="both"/>
        <w:rPr>
          <w:rFonts w:ascii="Arial" w:eastAsia="Times New Roman" w:hAnsi="Arial" w:cs="Arial"/>
          <w:color w:val="000000"/>
          <w:sz w:val="24"/>
          <w:szCs w:val="24"/>
          <w:lang w:eastAsia="pt-PT"/>
        </w:rPr>
      </w:pPr>
      <w:r w:rsidRPr="005429B0">
        <w:rPr>
          <w:rFonts w:ascii="Arial" w:eastAsia="Times New Roman" w:hAnsi="Arial" w:cs="Arial"/>
          <w:color w:val="000000"/>
          <w:sz w:val="24"/>
          <w:szCs w:val="24"/>
          <w:lang w:eastAsia="pt-PT"/>
        </w:rPr>
        <w:t>Da análise aos limites e desafios da descentralização em segurança urbana, Ferreira</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2022) destaca a burocratização excessiva enquanto entrave à autonomia local, ao passo que Monteiro e Horta</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 xml:space="preserve">2018) apontam sete falhas da MLG: informação, capacidade, financiamento, fragmentação de políticas, delimitação administrativa, objetivos e </w:t>
      </w:r>
      <w:r w:rsidRPr="005429B0">
        <w:rPr>
          <w:rFonts w:ascii="Arial" w:eastAsia="Times New Roman" w:hAnsi="Arial" w:cs="Arial"/>
          <w:i/>
          <w:iCs/>
          <w:color w:val="000000"/>
          <w:sz w:val="24"/>
          <w:szCs w:val="24"/>
          <w:lang w:eastAsia="pt-PT"/>
        </w:rPr>
        <w:t>accountability</w:t>
      </w:r>
      <w:r w:rsidRPr="005429B0">
        <w:rPr>
          <w:rFonts w:ascii="Arial" w:eastAsia="Times New Roman" w:hAnsi="Arial" w:cs="Arial"/>
          <w:color w:val="000000"/>
          <w:sz w:val="24"/>
          <w:szCs w:val="24"/>
          <w:lang w:eastAsia="pt-PT"/>
        </w:rPr>
        <w:t>. Nesta matéria, a literatura internacional</w:t>
      </w:r>
      <w:r w:rsidR="001A7C28">
        <w:rPr>
          <w:rFonts w:ascii="Arial" w:eastAsia="Times New Roman" w:hAnsi="Arial" w:cs="Arial"/>
          <w:color w:val="000000"/>
          <w:sz w:val="24"/>
          <w:szCs w:val="24"/>
          <w:lang w:eastAsia="pt-PT"/>
        </w:rPr>
        <w:t>, nomeadamente</w:t>
      </w:r>
      <w:r w:rsidRPr="005429B0">
        <w:rPr>
          <w:rFonts w:ascii="Arial" w:eastAsia="Times New Roman" w:hAnsi="Arial" w:cs="Arial"/>
          <w:color w:val="000000"/>
          <w:sz w:val="24"/>
          <w:szCs w:val="24"/>
          <w:lang w:eastAsia="pt-PT"/>
        </w:rPr>
        <w:t xml:space="preserve"> Charron e Lapuente</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2018) e Trisman</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2002)</w:t>
      </w:r>
      <w:r w:rsidR="00215C54">
        <w:rPr>
          <w:rFonts w:ascii="Arial" w:eastAsia="Times New Roman" w:hAnsi="Arial" w:cs="Arial"/>
          <w:color w:val="000000"/>
          <w:sz w:val="24"/>
          <w:szCs w:val="24"/>
          <w:lang w:eastAsia="pt-PT"/>
        </w:rPr>
        <w:t xml:space="preserve">, </w:t>
      </w:r>
      <w:r w:rsidRPr="005429B0">
        <w:rPr>
          <w:rFonts w:ascii="Arial" w:eastAsia="Times New Roman" w:hAnsi="Arial" w:cs="Arial"/>
          <w:color w:val="000000"/>
          <w:sz w:val="24"/>
          <w:szCs w:val="24"/>
          <w:lang w:eastAsia="pt-PT"/>
        </w:rPr>
        <w:t>refere</w:t>
      </w:r>
      <w:r w:rsidR="00215C54">
        <w:rPr>
          <w:rFonts w:ascii="Arial" w:eastAsia="Times New Roman" w:hAnsi="Arial" w:cs="Arial"/>
          <w:color w:val="000000"/>
          <w:sz w:val="24"/>
          <w:szCs w:val="24"/>
          <w:lang w:eastAsia="pt-PT"/>
        </w:rPr>
        <w:t>m</w:t>
      </w:r>
      <w:r w:rsidRPr="005429B0">
        <w:rPr>
          <w:rFonts w:ascii="Arial" w:eastAsia="Times New Roman" w:hAnsi="Arial" w:cs="Arial"/>
          <w:color w:val="000000"/>
          <w:sz w:val="24"/>
          <w:szCs w:val="24"/>
          <w:lang w:eastAsia="pt-PT"/>
        </w:rPr>
        <w:t xml:space="preserve"> a propensão para a corrupção como um perigo da descentralização. Há, no entanto, consenso entre todas as fontes no reconhecimento de que, caso não seja acompanhada de recursos adequados, a descentralização comporta riscos estruturais, assim como no reconhecimento das assimetrias territoriais como obstáculos e em identificar a coordenação entre instituições como um desafio operacional.</w:t>
      </w:r>
    </w:p>
    <w:p w14:paraId="5C07D8D4" w14:textId="29584446" w:rsidR="005429B0" w:rsidRDefault="005429B0" w:rsidP="00EE587B">
      <w:pPr>
        <w:spacing w:line="360" w:lineRule="auto"/>
        <w:ind w:firstLine="360"/>
        <w:jc w:val="both"/>
        <w:rPr>
          <w:rFonts w:ascii="Arial" w:eastAsia="Times New Roman" w:hAnsi="Arial" w:cs="Arial"/>
          <w:color w:val="000000"/>
          <w:sz w:val="24"/>
          <w:szCs w:val="24"/>
          <w:lang w:eastAsia="pt-PT"/>
        </w:rPr>
      </w:pPr>
      <w:r w:rsidRPr="005429B0">
        <w:rPr>
          <w:rFonts w:ascii="Arial" w:eastAsia="Times New Roman" w:hAnsi="Arial" w:cs="Arial"/>
          <w:color w:val="000000"/>
          <w:sz w:val="24"/>
          <w:szCs w:val="24"/>
          <w:lang w:eastAsia="pt-PT"/>
        </w:rPr>
        <w:t xml:space="preserve">Neste enquadramento, os autores convergem quanto à necessidade de conseguir chegar a um modelo de governação mais capacitado para articular </w:t>
      </w:r>
      <w:r w:rsidRPr="005429B0">
        <w:rPr>
          <w:rFonts w:ascii="Arial" w:eastAsia="Times New Roman" w:hAnsi="Arial" w:cs="Arial"/>
          <w:color w:val="000000"/>
          <w:sz w:val="24"/>
          <w:szCs w:val="24"/>
          <w:lang w:eastAsia="pt-PT"/>
        </w:rPr>
        <w:lastRenderedPageBreak/>
        <w:t>níveis e atores múltiplos, onde a condição de sucesso é a avaliação contínua das políticas e da perceção dos atores locais, com a segurança urbana e implicar soluções territoriais que sejam coordenadas a nível central. Neste sentido, Ferreira</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2022) propõe uma triangulação conceptual para entender a complexidade real, ao passo que Monteiro e Horta</w:t>
      </w:r>
      <w:r w:rsidR="00215C54">
        <w:rPr>
          <w:rFonts w:ascii="Arial" w:eastAsia="Times New Roman" w:hAnsi="Arial" w:cs="Arial"/>
          <w:color w:val="000000"/>
          <w:sz w:val="24"/>
          <w:szCs w:val="24"/>
          <w:lang w:eastAsia="pt-PT"/>
        </w:rPr>
        <w:t xml:space="preserve"> </w:t>
      </w:r>
      <w:r w:rsidR="0035024C">
        <w:rPr>
          <w:rFonts w:ascii="Arial" w:eastAsia="Times New Roman" w:hAnsi="Arial" w:cs="Arial"/>
          <w:color w:val="000000"/>
          <w:sz w:val="24"/>
          <w:szCs w:val="24"/>
          <w:lang w:eastAsia="pt-PT"/>
        </w:rPr>
        <w:t>(</w:t>
      </w:r>
      <w:r w:rsidRPr="005429B0">
        <w:rPr>
          <w:rFonts w:ascii="Arial" w:eastAsia="Times New Roman" w:hAnsi="Arial" w:cs="Arial"/>
          <w:color w:val="000000"/>
          <w:sz w:val="24"/>
          <w:szCs w:val="24"/>
          <w:lang w:eastAsia="pt-PT"/>
        </w:rPr>
        <w:t>2018) defendem adotar a megagovernança enquanto forma de coordenar hierarquias, mercados e redes, garantindo assim a coerência estratégica. A literatura internacional já referida aponta para uma avaliação do desempenho institucional e qualidade da governação.</w:t>
      </w:r>
    </w:p>
    <w:p w14:paraId="40AC6133" w14:textId="77777777" w:rsidR="00EE587B" w:rsidRDefault="00EE587B" w:rsidP="00EE587B">
      <w:pPr>
        <w:spacing w:line="360" w:lineRule="auto"/>
        <w:rPr>
          <w:rFonts w:ascii="Arial" w:eastAsia="Times New Roman" w:hAnsi="Arial" w:cs="Arial"/>
          <w:color w:val="000000"/>
          <w:sz w:val="24"/>
          <w:szCs w:val="24"/>
          <w:lang w:eastAsia="pt-PT"/>
        </w:rPr>
      </w:pPr>
    </w:p>
    <w:p w14:paraId="23770757" w14:textId="493CE3B0" w:rsidR="005429B0" w:rsidRPr="00EE587B" w:rsidRDefault="005429B0" w:rsidP="00EE587B">
      <w:pPr>
        <w:pStyle w:val="PargrafodaLista"/>
        <w:numPr>
          <w:ilvl w:val="0"/>
          <w:numId w:val="45"/>
        </w:numPr>
        <w:spacing w:line="360" w:lineRule="auto"/>
        <w:rPr>
          <w:rFonts w:ascii="Arial" w:hAnsi="Arial" w:cs="Arial"/>
          <w:b/>
          <w:bCs/>
          <w:sz w:val="24"/>
          <w:szCs w:val="24"/>
        </w:rPr>
      </w:pPr>
      <w:r w:rsidRPr="00EE587B">
        <w:rPr>
          <w:rFonts w:ascii="Arial" w:hAnsi="Arial" w:cs="Arial"/>
          <w:b/>
          <w:bCs/>
          <w:sz w:val="24"/>
          <w:szCs w:val="24"/>
        </w:rPr>
        <w:t>Conclusão</w:t>
      </w:r>
    </w:p>
    <w:p w14:paraId="68AAE125" w14:textId="3A9A93E2" w:rsidR="003A1C68" w:rsidRPr="003A1C68" w:rsidRDefault="003A1C68" w:rsidP="00EE587B">
      <w:pPr>
        <w:spacing w:line="360" w:lineRule="auto"/>
        <w:ind w:firstLine="360"/>
        <w:jc w:val="both"/>
        <w:rPr>
          <w:rFonts w:ascii="Arial" w:hAnsi="Arial" w:cs="Arial"/>
          <w:sz w:val="24"/>
          <w:szCs w:val="24"/>
        </w:rPr>
      </w:pPr>
      <w:r w:rsidRPr="003A1C68">
        <w:rPr>
          <w:rFonts w:ascii="Arial" w:hAnsi="Arial" w:cs="Arial"/>
          <w:sz w:val="24"/>
          <w:szCs w:val="24"/>
        </w:rPr>
        <w:t xml:space="preserve">Da análise desenvolvida ao longo deste trabalho resulta que a segurança urbana </w:t>
      </w:r>
      <w:proofErr w:type="gramStart"/>
      <w:r w:rsidRPr="003A1C68">
        <w:rPr>
          <w:rFonts w:ascii="Arial" w:hAnsi="Arial" w:cs="Arial"/>
          <w:sz w:val="24"/>
          <w:szCs w:val="24"/>
        </w:rPr>
        <w:t>afirma</w:t>
      </w:r>
      <w:r>
        <w:rPr>
          <w:rFonts w:ascii="Arial" w:hAnsi="Arial" w:cs="Arial"/>
          <w:sz w:val="24"/>
          <w:szCs w:val="24"/>
        </w:rPr>
        <w:t>-se</w:t>
      </w:r>
      <w:proofErr w:type="gramEnd"/>
      <w:r w:rsidRPr="003A1C68">
        <w:rPr>
          <w:rFonts w:ascii="Arial" w:hAnsi="Arial" w:cs="Arial"/>
          <w:sz w:val="24"/>
          <w:szCs w:val="24"/>
        </w:rPr>
        <w:t xml:space="preserve">, no ordenamento jurídico português, como uma dimensão territorial e funcional da segurança interna, refletindo a necessidade de respostas preventivas, integradas e adaptadas às especificidades do contexto urbano. Longe de configurar um domínio autónomo ou uma descentralização da função de segurança, a segurança urbana desenvolve-se no quadro do Sistema de Segurança Interna, sob coordenação estratégica do Estado e </w:t>
      </w:r>
      <w:r>
        <w:rPr>
          <w:rFonts w:ascii="Arial" w:hAnsi="Arial" w:cs="Arial"/>
          <w:sz w:val="24"/>
          <w:szCs w:val="24"/>
        </w:rPr>
        <w:t>no</w:t>
      </w:r>
      <w:r w:rsidRPr="003A1C68">
        <w:rPr>
          <w:rFonts w:ascii="Arial" w:hAnsi="Arial" w:cs="Arial"/>
          <w:sz w:val="24"/>
          <w:szCs w:val="24"/>
        </w:rPr>
        <w:t xml:space="preserve"> estrito respeito pelos princípios constitucionais do Estado de Direito Democrático, designadamente o monopólio estatal do uso legítimo da força.</w:t>
      </w:r>
    </w:p>
    <w:p w14:paraId="7E8C341C" w14:textId="77777777" w:rsidR="003A1C68" w:rsidRPr="003A1C68" w:rsidRDefault="003A1C68" w:rsidP="00EE587B">
      <w:pPr>
        <w:spacing w:line="360" w:lineRule="auto"/>
        <w:ind w:firstLine="360"/>
        <w:jc w:val="both"/>
        <w:rPr>
          <w:rFonts w:ascii="Arial" w:hAnsi="Arial" w:cs="Arial"/>
          <w:sz w:val="24"/>
          <w:szCs w:val="24"/>
        </w:rPr>
      </w:pPr>
      <w:r w:rsidRPr="003A1C68">
        <w:rPr>
          <w:rFonts w:ascii="Arial" w:hAnsi="Arial" w:cs="Arial"/>
          <w:sz w:val="24"/>
          <w:szCs w:val="24"/>
        </w:rPr>
        <w:t>A Estratégia Integrada de Segurança Urbana consubstancia uma opção política e estratégica orientada para a governação multinível e para a coprodução de segurança, sem alteração do quadro jurídico-constitucional vigente. Neste contexto, os Conselhos Municipais de Segurança e os Contratos Locais de Segurança emergem como instrumentos centrais de descentralização funcional e de territorialização das políticas públicas de segurança, permitindo articular diagnóstico, participação, coordenação interinstitucional e intervenção operacional ao nível local.</w:t>
      </w:r>
    </w:p>
    <w:p w14:paraId="63B8170C" w14:textId="77777777" w:rsidR="003A1C68" w:rsidRPr="003A1C68" w:rsidRDefault="003A1C68" w:rsidP="00EE587B">
      <w:pPr>
        <w:spacing w:line="360" w:lineRule="auto"/>
        <w:ind w:firstLine="360"/>
        <w:jc w:val="both"/>
        <w:rPr>
          <w:rFonts w:ascii="Arial" w:hAnsi="Arial" w:cs="Arial"/>
          <w:sz w:val="24"/>
          <w:szCs w:val="24"/>
        </w:rPr>
      </w:pPr>
      <w:r w:rsidRPr="003A1C68">
        <w:rPr>
          <w:rFonts w:ascii="Arial" w:hAnsi="Arial" w:cs="Arial"/>
          <w:sz w:val="24"/>
          <w:szCs w:val="24"/>
        </w:rPr>
        <w:t xml:space="preserve">Todavia, a eficácia destes instrumentos depende de condições estruturais claras, nomeadamente da articulação entre níveis de governação, da disponibilização de recursos adequados, da definição precisa de competências e da existência de mecanismos de avaliação contínua. Assim, a segurança urbana apresenta-se como um campo privilegiado de experimentação de </w:t>
      </w:r>
      <w:r w:rsidRPr="003A1C68">
        <w:rPr>
          <w:rFonts w:ascii="Arial" w:hAnsi="Arial" w:cs="Arial"/>
          <w:sz w:val="24"/>
          <w:szCs w:val="24"/>
        </w:rPr>
        <w:lastRenderedPageBreak/>
        <w:t>modelos de governação integrada, cujo sucesso exige equilíbrio entre proximidade e unidade, cooperação e coordenação, inovação territorial e preservação da coerência estratégica do Estado.</w:t>
      </w:r>
    </w:p>
    <w:p w14:paraId="7F8F073D" w14:textId="77777777" w:rsidR="003D13FC" w:rsidRDefault="003D13FC" w:rsidP="005429B0">
      <w:pPr>
        <w:spacing w:line="360" w:lineRule="auto"/>
        <w:jc w:val="both"/>
        <w:rPr>
          <w:rFonts w:ascii="Arial" w:hAnsi="Arial" w:cs="Arial"/>
          <w:sz w:val="24"/>
          <w:szCs w:val="24"/>
        </w:rPr>
      </w:pPr>
    </w:p>
    <w:p w14:paraId="5F3AF62B" w14:textId="2DE80CE5" w:rsidR="00212BF7" w:rsidRPr="00D12A9C" w:rsidRDefault="00EE587B" w:rsidP="00EE587B">
      <w:pPr>
        <w:pStyle w:val="Ttulo1"/>
        <w:numPr>
          <w:ilvl w:val="0"/>
          <w:numId w:val="45"/>
        </w:numPr>
        <w:spacing w:line="360" w:lineRule="auto"/>
        <w:jc w:val="both"/>
        <w:rPr>
          <w:rFonts w:ascii="Arial" w:hAnsi="Arial" w:cs="Arial"/>
          <w:sz w:val="24"/>
          <w:szCs w:val="24"/>
        </w:rPr>
      </w:pPr>
      <w:r>
        <w:rPr>
          <w:rFonts w:ascii="Arial" w:hAnsi="Arial" w:cs="Arial"/>
          <w:sz w:val="24"/>
          <w:szCs w:val="24"/>
        </w:rPr>
        <w:t xml:space="preserve">Referências </w:t>
      </w:r>
      <w:r w:rsidR="00212BF7" w:rsidRPr="00D12A9C">
        <w:rPr>
          <w:rFonts w:ascii="Arial" w:hAnsi="Arial" w:cs="Arial"/>
          <w:sz w:val="24"/>
          <w:szCs w:val="24"/>
        </w:rPr>
        <w:t>Bibliogr</w:t>
      </w:r>
      <w:r>
        <w:rPr>
          <w:rFonts w:ascii="Arial" w:hAnsi="Arial" w:cs="Arial"/>
          <w:sz w:val="24"/>
          <w:szCs w:val="24"/>
        </w:rPr>
        <w:t>áficas</w:t>
      </w:r>
    </w:p>
    <w:p w14:paraId="7402C508" w14:textId="77777777" w:rsidR="00212BF7" w:rsidRPr="00D12A9C" w:rsidRDefault="00212BF7" w:rsidP="00212BF7">
      <w:pPr>
        <w:pStyle w:val="Ttulo1"/>
        <w:spacing w:before="120" w:line="360" w:lineRule="auto"/>
        <w:ind w:left="142"/>
        <w:jc w:val="both"/>
        <w:rPr>
          <w:rFonts w:ascii="Arial" w:hAnsi="Arial" w:cs="Arial"/>
          <w:b w:val="0"/>
          <w:bCs w:val="0"/>
          <w:sz w:val="24"/>
          <w:szCs w:val="24"/>
        </w:rPr>
      </w:pPr>
      <w:r w:rsidRPr="00D12A9C">
        <w:rPr>
          <w:rFonts w:ascii="Arial" w:hAnsi="Arial" w:cs="Arial"/>
          <w:b w:val="0"/>
          <w:bCs w:val="0"/>
          <w:sz w:val="24"/>
          <w:szCs w:val="24"/>
        </w:rPr>
        <w:t xml:space="preserve">Amante, A., &amp; Saraiva, M. (2019). Contratos locais de segurança e coprodução da segurança: Governança multinível e políticas públicas locais. </w:t>
      </w:r>
      <w:r w:rsidRPr="00D12A9C">
        <w:rPr>
          <w:rFonts w:ascii="Arial" w:hAnsi="Arial" w:cs="Arial"/>
          <w:b w:val="0"/>
          <w:bCs w:val="0"/>
          <w:i/>
          <w:iCs/>
          <w:sz w:val="24"/>
          <w:szCs w:val="24"/>
        </w:rPr>
        <w:t>Revista Portuguesa de Administração Pública</w:t>
      </w:r>
      <w:r w:rsidRPr="00D12A9C">
        <w:rPr>
          <w:rFonts w:ascii="Arial" w:hAnsi="Arial" w:cs="Arial"/>
          <w:b w:val="0"/>
          <w:bCs w:val="0"/>
          <w:sz w:val="24"/>
          <w:szCs w:val="24"/>
        </w:rPr>
        <w:t>, 12(2), 45–67.</w:t>
      </w:r>
    </w:p>
    <w:p w14:paraId="294DB5F3" w14:textId="77777777" w:rsidR="00212BF7" w:rsidRPr="00D12A9C" w:rsidRDefault="00212BF7" w:rsidP="00212BF7">
      <w:pPr>
        <w:pStyle w:val="Ttulo1"/>
        <w:spacing w:before="120" w:line="360" w:lineRule="auto"/>
        <w:ind w:left="142"/>
        <w:jc w:val="both"/>
        <w:rPr>
          <w:rFonts w:ascii="Arial" w:hAnsi="Arial" w:cs="Arial"/>
          <w:b w:val="0"/>
          <w:bCs w:val="0"/>
          <w:sz w:val="24"/>
          <w:szCs w:val="24"/>
          <w:lang w:val="en-US"/>
        </w:rPr>
      </w:pPr>
      <w:r w:rsidRPr="00D12A9C">
        <w:rPr>
          <w:rFonts w:ascii="Arial" w:hAnsi="Arial" w:cs="Arial"/>
          <w:b w:val="0"/>
          <w:bCs w:val="0"/>
          <w:sz w:val="24"/>
          <w:szCs w:val="24"/>
        </w:rPr>
        <w:t xml:space="preserve">Araújo, J. F. (2018). </w:t>
      </w:r>
      <w:r w:rsidRPr="00D12A9C">
        <w:rPr>
          <w:rFonts w:ascii="Arial" w:hAnsi="Arial" w:cs="Arial"/>
          <w:b w:val="0"/>
          <w:bCs w:val="0"/>
          <w:i/>
          <w:iCs/>
          <w:sz w:val="24"/>
          <w:szCs w:val="24"/>
        </w:rPr>
        <w:t>Segurança interna e poder local: Os contratos locais de segurança no ordenamento jurídico português</w:t>
      </w:r>
      <w:r w:rsidRPr="00D12A9C">
        <w:rPr>
          <w:rFonts w:ascii="Arial" w:hAnsi="Arial" w:cs="Arial"/>
          <w:b w:val="0"/>
          <w:bCs w:val="0"/>
          <w:sz w:val="24"/>
          <w:szCs w:val="24"/>
        </w:rPr>
        <w:t xml:space="preserve">. </w:t>
      </w:r>
      <w:r w:rsidRPr="00D12A9C">
        <w:rPr>
          <w:rFonts w:ascii="Arial" w:hAnsi="Arial" w:cs="Arial"/>
          <w:b w:val="0"/>
          <w:bCs w:val="0"/>
          <w:sz w:val="24"/>
          <w:szCs w:val="24"/>
          <w:lang w:val="en-US"/>
        </w:rPr>
        <w:t>Coimbra: Almedina.</w:t>
      </w:r>
    </w:p>
    <w:p w14:paraId="2549F070" w14:textId="77777777" w:rsidR="00212BF7" w:rsidRPr="00D12A9C" w:rsidRDefault="00212BF7" w:rsidP="00212BF7">
      <w:pPr>
        <w:pStyle w:val="Ttulo1"/>
        <w:spacing w:before="120" w:line="360" w:lineRule="auto"/>
        <w:ind w:left="142"/>
        <w:jc w:val="both"/>
        <w:rPr>
          <w:rFonts w:ascii="Arial" w:hAnsi="Arial" w:cs="Arial"/>
          <w:b w:val="0"/>
          <w:bCs w:val="0"/>
          <w:sz w:val="24"/>
          <w:szCs w:val="24"/>
          <w:lang w:val="en-US"/>
        </w:rPr>
      </w:pPr>
      <w:r w:rsidRPr="00D12A9C">
        <w:rPr>
          <w:rFonts w:ascii="Arial" w:hAnsi="Arial" w:cs="Arial"/>
          <w:b w:val="0"/>
          <w:bCs w:val="0"/>
          <w:sz w:val="24"/>
          <w:szCs w:val="24"/>
          <w:lang w:val="en-US"/>
        </w:rPr>
        <w:t xml:space="preserve">Buzan, B. (1991). </w:t>
      </w:r>
      <w:r w:rsidRPr="00D12A9C">
        <w:rPr>
          <w:rFonts w:ascii="Arial" w:hAnsi="Arial" w:cs="Arial"/>
          <w:b w:val="0"/>
          <w:bCs w:val="0"/>
          <w:i/>
          <w:iCs/>
          <w:sz w:val="24"/>
          <w:szCs w:val="24"/>
          <w:lang w:val="en-US"/>
        </w:rPr>
        <w:t>People, states and fear: An agenda for international security studies in the post–Cold War era</w:t>
      </w:r>
      <w:r w:rsidRPr="00D12A9C">
        <w:rPr>
          <w:rFonts w:ascii="Arial" w:hAnsi="Arial" w:cs="Arial"/>
          <w:b w:val="0"/>
          <w:bCs w:val="0"/>
          <w:sz w:val="24"/>
          <w:szCs w:val="24"/>
          <w:lang w:val="en-US"/>
        </w:rPr>
        <w:t xml:space="preserve"> (2nd ed.). Boulder, CO: Lynne Rienner Publishers.</w:t>
      </w:r>
    </w:p>
    <w:p w14:paraId="2099C544" w14:textId="77777777" w:rsidR="00212BF7" w:rsidRPr="00D12A9C" w:rsidRDefault="00212BF7" w:rsidP="00212BF7">
      <w:pPr>
        <w:pStyle w:val="Ttulo1"/>
        <w:spacing w:before="120" w:line="360" w:lineRule="auto"/>
        <w:ind w:left="142"/>
        <w:jc w:val="both"/>
        <w:rPr>
          <w:rFonts w:ascii="Arial" w:hAnsi="Arial" w:cs="Arial"/>
          <w:b w:val="0"/>
          <w:bCs w:val="0"/>
          <w:sz w:val="24"/>
          <w:szCs w:val="24"/>
          <w:lang w:val="en-US"/>
        </w:rPr>
      </w:pPr>
      <w:r w:rsidRPr="00D12A9C">
        <w:rPr>
          <w:rFonts w:ascii="Arial" w:hAnsi="Arial" w:cs="Arial"/>
          <w:b w:val="0"/>
          <w:bCs w:val="0"/>
          <w:sz w:val="24"/>
          <w:szCs w:val="24"/>
          <w:lang w:val="en-US"/>
        </w:rPr>
        <w:t xml:space="preserve">Buzan, B., Wæver, O., &amp; de Wilde, J. (1998). </w:t>
      </w:r>
      <w:r w:rsidRPr="00D12A9C">
        <w:rPr>
          <w:rFonts w:ascii="Arial" w:hAnsi="Arial" w:cs="Arial"/>
          <w:b w:val="0"/>
          <w:bCs w:val="0"/>
          <w:i/>
          <w:iCs/>
          <w:sz w:val="24"/>
          <w:szCs w:val="24"/>
          <w:lang w:val="en-US"/>
        </w:rPr>
        <w:t>Security: A new framework for analysis</w:t>
      </w:r>
      <w:r w:rsidRPr="00D12A9C">
        <w:rPr>
          <w:rFonts w:ascii="Arial" w:hAnsi="Arial" w:cs="Arial"/>
          <w:b w:val="0"/>
          <w:bCs w:val="0"/>
          <w:sz w:val="24"/>
          <w:szCs w:val="24"/>
          <w:lang w:val="en-US"/>
        </w:rPr>
        <w:t>. Boulder, CO: Lynne Rienner Publishers.</w:t>
      </w:r>
    </w:p>
    <w:p w14:paraId="46318D9B" w14:textId="77777777" w:rsidR="00212BF7" w:rsidRPr="00D12A9C" w:rsidRDefault="00212BF7" w:rsidP="00212BF7">
      <w:pPr>
        <w:pStyle w:val="Ttulo1"/>
        <w:spacing w:before="120" w:line="360" w:lineRule="auto"/>
        <w:ind w:left="142"/>
        <w:jc w:val="both"/>
        <w:rPr>
          <w:rFonts w:ascii="Arial" w:hAnsi="Arial" w:cs="Arial"/>
          <w:b w:val="0"/>
          <w:bCs w:val="0"/>
          <w:sz w:val="24"/>
          <w:szCs w:val="24"/>
        </w:rPr>
      </w:pPr>
      <w:r w:rsidRPr="00D12A9C">
        <w:rPr>
          <w:rFonts w:ascii="Arial" w:hAnsi="Arial" w:cs="Arial"/>
          <w:b w:val="0"/>
          <w:bCs w:val="0"/>
          <w:sz w:val="24"/>
          <w:szCs w:val="24"/>
          <w:lang w:val="en-US"/>
        </w:rPr>
        <w:t xml:space="preserve">Charron, N., &amp; Lapuente, V. (2018). </w:t>
      </w:r>
      <w:r w:rsidRPr="00D12A9C">
        <w:rPr>
          <w:rFonts w:ascii="Arial" w:hAnsi="Arial" w:cs="Arial"/>
          <w:b w:val="0"/>
          <w:bCs w:val="0"/>
          <w:i/>
          <w:iCs/>
          <w:sz w:val="24"/>
          <w:szCs w:val="24"/>
          <w:lang w:val="en-US"/>
        </w:rPr>
        <w:t>Quality of government in EU regions: Spatial and temporal patterns</w:t>
      </w:r>
      <w:r w:rsidRPr="00D12A9C">
        <w:rPr>
          <w:rFonts w:ascii="Arial" w:hAnsi="Arial" w:cs="Arial"/>
          <w:b w:val="0"/>
          <w:bCs w:val="0"/>
          <w:sz w:val="24"/>
          <w:szCs w:val="24"/>
          <w:lang w:val="en-US"/>
        </w:rPr>
        <w:t xml:space="preserve">. </w:t>
      </w:r>
      <w:proofErr w:type="spellStart"/>
      <w:r w:rsidRPr="00D12A9C">
        <w:rPr>
          <w:rFonts w:ascii="Arial" w:hAnsi="Arial" w:cs="Arial"/>
          <w:b w:val="0"/>
          <w:bCs w:val="0"/>
          <w:sz w:val="24"/>
          <w:szCs w:val="24"/>
        </w:rPr>
        <w:t>Göteborg</w:t>
      </w:r>
      <w:proofErr w:type="spellEnd"/>
      <w:r w:rsidRPr="00D12A9C">
        <w:rPr>
          <w:rFonts w:ascii="Arial" w:hAnsi="Arial" w:cs="Arial"/>
          <w:b w:val="0"/>
          <w:bCs w:val="0"/>
          <w:sz w:val="24"/>
          <w:szCs w:val="24"/>
        </w:rPr>
        <w:t xml:space="preserve">: </w:t>
      </w:r>
      <w:proofErr w:type="spellStart"/>
      <w:r w:rsidRPr="00D12A9C">
        <w:rPr>
          <w:rFonts w:ascii="Arial" w:hAnsi="Arial" w:cs="Arial"/>
          <w:b w:val="0"/>
          <w:bCs w:val="0"/>
          <w:sz w:val="24"/>
          <w:szCs w:val="24"/>
        </w:rPr>
        <w:t>University</w:t>
      </w:r>
      <w:proofErr w:type="spellEnd"/>
      <w:r w:rsidRPr="00D12A9C">
        <w:rPr>
          <w:rFonts w:ascii="Arial" w:hAnsi="Arial" w:cs="Arial"/>
          <w:b w:val="0"/>
          <w:bCs w:val="0"/>
          <w:sz w:val="24"/>
          <w:szCs w:val="24"/>
        </w:rPr>
        <w:t xml:space="preserve"> </w:t>
      </w:r>
      <w:proofErr w:type="spellStart"/>
      <w:r w:rsidRPr="00D12A9C">
        <w:rPr>
          <w:rFonts w:ascii="Arial" w:hAnsi="Arial" w:cs="Arial"/>
          <w:b w:val="0"/>
          <w:bCs w:val="0"/>
          <w:sz w:val="24"/>
          <w:szCs w:val="24"/>
        </w:rPr>
        <w:t>of</w:t>
      </w:r>
      <w:proofErr w:type="spellEnd"/>
      <w:r w:rsidRPr="00D12A9C">
        <w:rPr>
          <w:rFonts w:ascii="Arial" w:hAnsi="Arial" w:cs="Arial"/>
          <w:b w:val="0"/>
          <w:bCs w:val="0"/>
          <w:sz w:val="24"/>
          <w:szCs w:val="24"/>
        </w:rPr>
        <w:t xml:space="preserve"> </w:t>
      </w:r>
      <w:proofErr w:type="spellStart"/>
      <w:r w:rsidRPr="00D12A9C">
        <w:rPr>
          <w:rFonts w:ascii="Arial" w:hAnsi="Arial" w:cs="Arial"/>
          <w:b w:val="0"/>
          <w:bCs w:val="0"/>
          <w:sz w:val="24"/>
          <w:szCs w:val="24"/>
        </w:rPr>
        <w:t>Gothenburg</w:t>
      </w:r>
      <w:proofErr w:type="spellEnd"/>
      <w:r w:rsidRPr="00D12A9C">
        <w:rPr>
          <w:rFonts w:ascii="Arial" w:hAnsi="Arial" w:cs="Arial"/>
          <w:b w:val="0"/>
          <w:bCs w:val="0"/>
          <w:sz w:val="24"/>
          <w:szCs w:val="24"/>
        </w:rPr>
        <w:t>.</w:t>
      </w:r>
    </w:p>
    <w:p w14:paraId="37295C59" w14:textId="77777777" w:rsidR="00212BF7" w:rsidRDefault="00212BF7" w:rsidP="00212BF7">
      <w:pPr>
        <w:pStyle w:val="Ttulo1"/>
        <w:spacing w:before="120" w:line="360" w:lineRule="auto"/>
        <w:ind w:left="142"/>
        <w:jc w:val="both"/>
        <w:rPr>
          <w:rFonts w:ascii="Arial" w:hAnsi="Arial" w:cs="Arial"/>
          <w:b w:val="0"/>
          <w:bCs w:val="0"/>
          <w:sz w:val="24"/>
          <w:szCs w:val="24"/>
        </w:rPr>
      </w:pPr>
      <w:r w:rsidRPr="00171248">
        <w:rPr>
          <w:rFonts w:ascii="Arial" w:hAnsi="Arial" w:cs="Arial"/>
          <w:b w:val="0"/>
          <w:bCs w:val="0"/>
          <w:sz w:val="24"/>
          <w:szCs w:val="24"/>
        </w:rPr>
        <w:t xml:space="preserve">Elias, L. M. A. (2011). </w:t>
      </w:r>
      <w:r w:rsidRPr="00171248">
        <w:rPr>
          <w:rFonts w:ascii="Arial" w:hAnsi="Arial" w:cs="Arial"/>
          <w:b w:val="0"/>
          <w:bCs w:val="0"/>
          <w:i/>
          <w:iCs/>
          <w:sz w:val="24"/>
          <w:szCs w:val="24"/>
        </w:rPr>
        <w:t>Segurança na contemporaneidade: Internacionalização e comunitarização</w:t>
      </w:r>
      <w:r w:rsidRPr="00171248">
        <w:rPr>
          <w:rFonts w:ascii="Arial" w:hAnsi="Arial" w:cs="Arial"/>
          <w:b w:val="0"/>
          <w:bCs w:val="0"/>
          <w:sz w:val="24"/>
          <w:szCs w:val="24"/>
        </w:rPr>
        <w:t xml:space="preserve"> (Tese de doutoramento). Faculdade de Ciências Sociais e Humanas, Universidade Nova de Lisboa.</w:t>
      </w:r>
    </w:p>
    <w:p w14:paraId="48C897AD" w14:textId="77777777" w:rsidR="00212BF7" w:rsidRPr="00D12A9C" w:rsidRDefault="00212BF7" w:rsidP="00212BF7">
      <w:pPr>
        <w:pStyle w:val="Ttulo1"/>
        <w:spacing w:before="120" w:line="360" w:lineRule="auto"/>
        <w:ind w:left="142"/>
        <w:jc w:val="both"/>
        <w:rPr>
          <w:rFonts w:ascii="Arial" w:hAnsi="Arial" w:cs="Arial"/>
          <w:b w:val="0"/>
          <w:bCs w:val="0"/>
          <w:sz w:val="24"/>
          <w:szCs w:val="24"/>
        </w:rPr>
      </w:pPr>
      <w:r w:rsidRPr="00D12A9C">
        <w:rPr>
          <w:rFonts w:ascii="Arial" w:hAnsi="Arial" w:cs="Arial"/>
          <w:b w:val="0"/>
          <w:bCs w:val="0"/>
          <w:sz w:val="24"/>
          <w:szCs w:val="24"/>
        </w:rPr>
        <w:t xml:space="preserve">Ferreira, A. C. (2022). </w:t>
      </w:r>
      <w:r w:rsidRPr="00D12A9C">
        <w:rPr>
          <w:rFonts w:ascii="Arial" w:hAnsi="Arial" w:cs="Arial"/>
          <w:b w:val="0"/>
          <w:bCs w:val="0"/>
          <w:i/>
          <w:iCs/>
          <w:sz w:val="24"/>
          <w:szCs w:val="24"/>
        </w:rPr>
        <w:t>Poder local e descentralização administrativa em Portugal</w:t>
      </w:r>
      <w:r w:rsidRPr="00D12A9C">
        <w:rPr>
          <w:rFonts w:ascii="Arial" w:hAnsi="Arial" w:cs="Arial"/>
          <w:b w:val="0"/>
          <w:bCs w:val="0"/>
          <w:sz w:val="24"/>
          <w:szCs w:val="24"/>
        </w:rPr>
        <w:t>. Lisboa: Almedina.</w:t>
      </w:r>
    </w:p>
    <w:p w14:paraId="526F9D6A" w14:textId="77777777" w:rsidR="00212BF7" w:rsidRDefault="00212BF7" w:rsidP="00212BF7">
      <w:pPr>
        <w:pStyle w:val="Ttulo1"/>
        <w:spacing w:before="120" w:line="360" w:lineRule="auto"/>
        <w:ind w:left="142"/>
        <w:jc w:val="both"/>
        <w:rPr>
          <w:rFonts w:ascii="Arial" w:hAnsi="Arial" w:cs="Arial"/>
          <w:b w:val="0"/>
          <w:bCs w:val="0"/>
          <w:sz w:val="24"/>
          <w:szCs w:val="24"/>
        </w:rPr>
      </w:pPr>
      <w:r w:rsidRPr="00171248">
        <w:rPr>
          <w:rFonts w:ascii="Arial" w:hAnsi="Arial" w:cs="Arial"/>
          <w:b w:val="0"/>
          <w:bCs w:val="0"/>
          <w:sz w:val="24"/>
          <w:szCs w:val="24"/>
        </w:rPr>
        <w:t xml:space="preserve">Foucault, M. (2008). </w:t>
      </w:r>
      <w:r w:rsidRPr="00171248">
        <w:rPr>
          <w:rFonts w:ascii="Arial" w:hAnsi="Arial" w:cs="Arial"/>
          <w:b w:val="0"/>
          <w:bCs w:val="0"/>
          <w:i/>
          <w:iCs/>
          <w:sz w:val="24"/>
          <w:szCs w:val="24"/>
        </w:rPr>
        <w:t xml:space="preserve">Segurança, território, população: Curso no </w:t>
      </w:r>
      <w:proofErr w:type="spellStart"/>
      <w:r w:rsidRPr="00171248">
        <w:rPr>
          <w:rFonts w:ascii="Arial" w:hAnsi="Arial" w:cs="Arial"/>
          <w:b w:val="0"/>
          <w:bCs w:val="0"/>
          <w:i/>
          <w:iCs/>
          <w:sz w:val="24"/>
          <w:szCs w:val="24"/>
        </w:rPr>
        <w:t>Collège</w:t>
      </w:r>
      <w:proofErr w:type="spellEnd"/>
      <w:r w:rsidRPr="00171248">
        <w:rPr>
          <w:rFonts w:ascii="Arial" w:hAnsi="Arial" w:cs="Arial"/>
          <w:b w:val="0"/>
          <w:bCs w:val="0"/>
          <w:i/>
          <w:iCs/>
          <w:sz w:val="24"/>
          <w:szCs w:val="24"/>
        </w:rPr>
        <w:t xml:space="preserve"> de France (1977–1978)</w:t>
      </w:r>
      <w:r w:rsidRPr="00171248">
        <w:rPr>
          <w:rFonts w:ascii="Arial" w:hAnsi="Arial" w:cs="Arial"/>
          <w:b w:val="0"/>
          <w:bCs w:val="0"/>
          <w:sz w:val="24"/>
          <w:szCs w:val="24"/>
        </w:rPr>
        <w:t>. São Paulo: Martins Fontes.</w:t>
      </w:r>
    </w:p>
    <w:p w14:paraId="1EF6D5FC" w14:textId="733D8E03" w:rsidR="00212BF7" w:rsidRPr="00D12A9C" w:rsidRDefault="00212BF7" w:rsidP="00212BF7">
      <w:pPr>
        <w:pStyle w:val="Ttulo1"/>
        <w:spacing w:before="120" w:line="360" w:lineRule="auto"/>
        <w:ind w:left="142"/>
        <w:jc w:val="both"/>
        <w:rPr>
          <w:rFonts w:ascii="Arial" w:hAnsi="Arial" w:cs="Arial"/>
          <w:b w:val="0"/>
          <w:bCs w:val="0"/>
          <w:sz w:val="24"/>
          <w:szCs w:val="24"/>
          <w:lang w:val="en-US"/>
        </w:rPr>
      </w:pPr>
      <w:r w:rsidRPr="000F0264">
        <w:rPr>
          <w:rFonts w:ascii="Arial" w:hAnsi="Arial" w:cs="Arial"/>
          <w:b w:val="0"/>
          <w:bCs w:val="0"/>
          <w:sz w:val="24"/>
          <w:szCs w:val="24"/>
        </w:rPr>
        <w:t xml:space="preserve">Jimale, M. A., &amp; Sipahi, E. B. (2023). </w:t>
      </w:r>
      <w:r w:rsidRPr="00D12A9C">
        <w:rPr>
          <w:rFonts w:ascii="Arial" w:hAnsi="Arial" w:cs="Arial"/>
          <w:b w:val="0"/>
          <w:bCs w:val="0"/>
          <w:sz w:val="24"/>
          <w:szCs w:val="24"/>
          <w:lang w:val="en-US"/>
        </w:rPr>
        <w:t xml:space="preserve">Urban security and governance: Rethinking safety in contemporary cities. </w:t>
      </w:r>
      <w:r w:rsidRPr="00D12A9C">
        <w:rPr>
          <w:rFonts w:ascii="Arial" w:hAnsi="Arial" w:cs="Arial"/>
          <w:b w:val="0"/>
          <w:bCs w:val="0"/>
          <w:i/>
          <w:iCs/>
          <w:sz w:val="24"/>
          <w:szCs w:val="24"/>
          <w:lang w:val="en-US"/>
        </w:rPr>
        <w:t>Journal of Urban Affairs</w:t>
      </w:r>
      <w:r w:rsidRPr="00D12A9C">
        <w:rPr>
          <w:rFonts w:ascii="Arial" w:hAnsi="Arial" w:cs="Arial"/>
          <w:b w:val="0"/>
          <w:bCs w:val="0"/>
          <w:sz w:val="24"/>
          <w:szCs w:val="24"/>
          <w:lang w:val="en-US"/>
        </w:rPr>
        <w:t xml:space="preserve">, 45(3), 345–362. </w:t>
      </w:r>
    </w:p>
    <w:p w14:paraId="6B3F0F5F" w14:textId="77777777" w:rsidR="00212BF7" w:rsidRPr="003D13FC" w:rsidRDefault="00212BF7" w:rsidP="00212BF7">
      <w:pPr>
        <w:pStyle w:val="Ttulo1"/>
        <w:spacing w:before="120" w:line="360" w:lineRule="auto"/>
        <w:ind w:left="142"/>
        <w:jc w:val="both"/>
        <w:rPr>
          <w:rFonts w:ascii="Arial" w:hAnsi="Arial" w:cs="Arial"/>
          <w:b w:val="0"/>
          <w:bCs w:val="0"/>
          <w:sz w:val="24"/>
          <w:szCs w:val="24"/>
        </w:rPr>
      </w:pPr>
      <w:r w:rsidRPr="008B2415">
        <w:rPr>
          <w:rFonts w:ascii="Arial" w:hAnsi="Arial" w:cs="Arial"/>
          <w:b w:val="0"/>
          <w:bCs w:val="0"/>
          <w:sz w:val="24"/>
          <w:szCs w:val="24"/>
          <w:lang w:val="en-US"/>
        </w:rPr>
        <w:t xml:space="preserve">Loader, I., &amp; Walker, N. (2007). </w:t>
      </w:r>
      <w:r w:rsidRPr="00D12A9C">
        <w:rPr>
          <w:rFonts w:ascii="Arial" w:hAnsi="Arial" w:cs="Arial"/>
          <w:b w:val="0"/>
          <w:bCs w:val="0"/>
          <w:i/>
          <w:iCs/>
          <w:sz w:val="24"/>
          <w:szCs w:val="24"/>
          <w:lang w:val="en-US"/>
        </w:rPr>
        <w:t>Civilizing security</w:t>
      </w:r>
      <w:r w:rsidRPr="00D12A9C">
        <w:rPr>
          <w:rFonts w:ascii="Arial" w:hAnsi="Arial" w:cs="Arial"/>
          <w:b w:val="0"/>
          <w:bCs w:val="0"/>
          <w:sz w:val="24"/>
          <w:szCs w:val="24"/>
          <w:lang w:val="en-US"/>
        </w:rPr>
        <w:t xml:space="preserve">. </w:t>
      </w:r>
      <w:r w:rsidRPr="003D13FC">
        <w:rPr>
          <w:rFonts w:ascii="Arial" w:hAnsi="Arial" w:cs="Arial"/>
          <w:b w:val="0"/>
          <w:bCs w:val="0"/>
          <w:sz w:val="24"/>
          <w:szCs w:val="24"/>
        </w:rPr>
        <w:t>Cambridge: Cambridge University Press.</w:t>
      </w:r>
    </w:p>
    <w:p w14:paraId="6D3D9D5B" w14:textId="77777777" w:rsidR="00212BF7" w:rsidRPr="00D12A9C" w:rsidRDefault="00212BF7" w:rsidP="00212BF7">
      <w:pPr>
        <w:pStyle w:val="Ttulo1"/>
        <w:spacing w:before="120" w:line="360" w:lineRule="auto"/>
        <w:ind w:left="142"/>
        <w:jc w:val="both"/>
        <w:rPr>
          <w:rFonts w:ascii="Arial" w:hAnsi="Arial" w:cs="Arial"/>
          <w:b w:val="0"/>
          <w:bCs w:val="0"/>
          <w:sz w:val="24"/>
          <w:szCs w:val="24"/>
        </w:rPr>
      </w:pPr>
      <w:r w:rsidRPr="00D12A9C">
        <w:rPr>
          <w:rFonts w:ascii="Arial" w:hAnsi="Arial" w:cs="Arial"/>
          <w:b w:val="0"/>
          <w:bCs w:val="0"/>
          <w:sz w:val="24"/>
          <w:szCs w:val="24"/>
        </w:rPr>
        <w:t xml:space="preserve">Monteiro, J., &amp; Horta, A. (2018). </w:t>
      </w:r>
      <w:r w:rsidRPr="00D12A9C">
        <w:rPr>
          <w:rFonts w:ascii="Arial" w:hAnsi="Arial" w:cs="Arial"/>
          <w:b w:val="0"/>
          <w:bCs w:val="0"/>
          <w:i/>
          <w:iCs/>
          <w:sz w:val="24"/>
          <w:szCs w:val="24"/>
        </w:rPr>
        <w:t xml:space="preserve">Descentralização administrativa e governação </w:t>
      </w:r>
      <w:r w:rsidRPr="00D12A9C">
        <w:rPr>
          <w:rFonts w:ascii="Arial" w:hAnsi="Arial" w:cs="Arial"/>
          <w:b w:val="0"/>
          <w:bCs w:val="0"/>
          <w:i/>
          <w:iCs/>
          <w:sz w:val="24"/>
          <w:szCs w:val="24"/>
        </w:rPr>
        <w:lastRenderedPageBreak/>
        <w:t>multinível em Portugal</w:t>
      </w:r>
      <w:r w:rsidRPr="00D12A9C">
        <w:rPr>
          <w:rFonts w:ascii="Arial" w:hAnsi="Arial" w:cs="Arial"/>
          <w:b w:val="0"/>
          <w:bCs w:val="0"/>
          <w:sz w:val="24"/>
          <w:szCs w:val="24"/>
        </w:rPr>
        <w:t>. Lisboa: Fundação Francisco Manuel dos Santos.</w:t>
      </w:r>
    </w:p>
    <w:p w14:paraId="6FCA90FC" w14:textId="2109170F" w:rsidR="00212BF7" w:rsidRPr="003D13FC" w:rsidRDefault="00212BF7" w:rsidP="00212BF7">
      <w:pPr>
        <w:pStyle w:val="Ttulo1"/>
        <w:spacing w:before="120" w:line="360" w:lineRule="auto"/>
        <w:ind w:left="142"/>
        <w:jc w:val="both"/>
        <w:rPr>
          <w:rFonts w:ascii="Arial" w:hAnsi="Arial" w:cs="Arial"/>
          <w:b w:val="0"/>
          <w:bCs w:val="0"/>
          <w:sz w:val="24"/>
          <w:szCs w:val="24"/>
        </w:rPr>
      </w:pPr>
      <w:r w:rsidRPr="00D12A9C">
        <w:rPr>
          <w:rFonts w:ascii="Arial" w:hAnsi="Arial" w:cs="Arial"/>
          <w:b w:val="0"/>
          <w:bCs w:val="0"/>
          <w:sz w:val="24"/>
          <w:szCs w:val="24"/>
        </w:rPr>
        <w:t xml:space="preserve">Nobili, G. (2016). </w:t>
      </w:r>
      <w:proofErr w:type="spellStart"/>
      <w:r w:rsidRPr="00D12A9C">
        <w:rPr>
          <w:rFonts w:ascii="Arial" w:hAnsi="Arial" w:cs="Arial"/>
          <w:b w:val="0"/>
          <w:bCs w:val="0"/>
          <w:sz w:val="24"/>
          <w:szCs w:val="24"/>
        </w:rPr>
        <w:t>Urban</w:t>
      </w:r>
      <w:proofErr w:type="spellEnd"/>
      <w:r w:rsidRPr="00D12A9C">
        <w:rPr>
          <w:rFonts w:ascii="Arial" w:hAnsi="Arial" w:cs="Arial"/>
          <w:b w:val="0"/>
          <w:bCs w:val="0"/>
          <w:sz w:val="24"/>
          <w:szCs w:val="24"/>
        </w:rPr>
        <w:t xml:space="preserve"> </w:t>
      </w:r>
      <w:proofErr w:type="spellStart"/>
      <w:r w:rsidRPr="00D12A9C">
        <w:rPr>
          <w:rFonts w:ascii="Arial" w:hAnsi="Arial" w:cs="Arial"/>
          <w:b w:val="0"/>
          <w:bCs w:val="0"/>
          <w:sz w:val="24"/>
          <w:szCs w:val="24"/>
        </w:rPr>
        <w:t>security</w:t>
      </w:r>
      <w:proofErr w:type="spellEnd"/>
      <w:r w:rsidRPr="00D12A9C">
        <w:rPr>
          <w:rFonts w:ascii="Arial" w:hAnsi="Arial" w:cs="Arial"/>
          <w:b w:val="0"/>
          <w:bCs w:val="0"/>
          <w:sz w:val="24"/>
          <w:szCs w:val="24"/>
        </w:rPr>
        <w:t xml:space="preserve"> </w:t>
      </w:r>
      <w:proofErr w:type="spellStart"/>
      <w:r w:rsidRPr="00D12A9C">
        <w:rPr>
          <w:rFonts w:ascii="Arial" w:hAnsi="Arial" w:cs="Arial"/>
          <w:b w:val="0"/>
          <w:bCs w:val="0"/>
          <w:sz w:val="24"/>
          <w:szCs w:val="24"/>
        </w:rPr>
        <w:t>and</w:t>
      </w:r>
      <w:proofErr w:type="spellEnd"/>
      <w:r w:rsidRPr="00D12A9C">
        <w:rPr>
          <w:rFonts w:ascii="Arial" w:hAnsi="Arial" w:cs="Arial"/>
          <w:b w:val="0"/>
          <w:bCs w:val="0"/>
          <w:sz w:val="24"/>
          <w:szCs w:val="24"/>
        </w:rPr>
        <w:t xml:space="preserve"> social </w:t>
      </w:r>
      <w:proofErr w:type="spellStart"/>
      <w:r w:rsidRPr="00D12A9C">
        <w:rPr>
          <w:rFonts w:ascii="Arial" w:hAnsi="Arial" w:cs="Arial"/>
          <w:b w:val="0"/>
          <w:bCs w:val="0"/>
          <w:sz w:val="24"/>
          <w:szCs w:val="24"/>
        </w:rPr>
        <w:t>cohesion</w:t>
      </w:r>
      <w:proofErr w:type="spellEnd"/>
      <w:r w:rsidRPr="00D12A9C">
        <w:rPr>
          <w:rFonts w:ascii="Arial" w:hAnsi="Arial" w:cs="Arial"/>
          <w:b w:val="0"/>
          <w:bCs w:val="0"/>
          <w:sz w:val="24"/>
          <w:szCs w:val="24"/>
        </w:rPr>
        <w:t xml:space="preserve">: A multidimensional </w:t>
      </w:r>
      <w:proofErr w:type="spellStart"/>
      <w:r w:rsidRPr="00D12A9C">
        <w:rPr>
          <w:rFonts w:ascii="Arial" w:hAnsi="Arial" w:cs="Arial"/>
          <w:b w:val="0"/>
          <w:bCs w:val="0"/>
          <w:sz w:val="24"/>
          <w:szCs w:val="24"/>
        </w:rPr>
        <w:t>approach</w:t>
      </w:r>
      <w:proofErr w:type="spellEnd"/>
      <w:r w:rsidRPr="00D12A9C">
        <w:rPr>
          <w:rFonts w:ascii="Arial" w:hAnsi="Arial" w:cs="Arial"/>
          <w:b w:val="0"/>
          <w:bCs w:val="0"/>
          <w:sz w:val="24"/>
          <w:szCs w:val="24"/>
        </w:rPr>
        <w:t xml:space="preserve">. </w:t>
      </w:r>
      <w:proofErr w:type="spellStart"/>
      <w:r w:rsidRPr="003D13FC">
        <w:rPr>
          <w:rFonts w:ascii="Arial" w:hAnsi="Arial" w:cs="Arial"/>
          <w:b w:val="0"/>
          <w:bCs w:val="0"/>
          <w:i/>
          <w:iCs/>
          <w:sz w:val="24"/>
          <w:szCs w:val="24"/>
        </w:rPr>
        <w:t>European</w:t>
      </w:r>
      <w:proofErr w:type="spellEnd"/>
      <w:r w:rsidRPr="003D13FC">
        <w:rPr>
          <w:rFonts w:ascii="Arial" w:hAnsi="Arial" w:cs="Arial"/>
          <w:b w:val="0"/>
          <w:bCs w:val="0"/>
          <w:i/>
          <w:iCs/>
          <w:sz w:val="24"/>
          <w:szCs w:val="24"/>
        </w:rPr>
        <w:t xml:space="preserve"> </w:t>
      </w:r>
      <w:proofErr w:type="spellStart"/>
      <w:r w:rsidRPr="003D13FC">
        <w:rPr>
          <w:rFonts w:ascii="Arial" w:hAnsi="Arial" w:cs="Arial"/>
          <w:b w:val="0"/>
          <w:bCs w:val="0"/>
          <w:i/>
          <w:iCs/>
          <w:sz w:val="24"/>
          <w:szCs w:val="24"/>
        </w:rPr>
        <w:t>Journal</w:t>
      </w:r>
      <w:proofErr w:type="spellEnd"/>
      <w:r w:rsidRPr="003D13FC">
        <w:rPr>
          <w:rFonts w:ascii="Arial" w:hAnsi="Arial" w:cs="Arial"/>
          <w:b w:val="0"/>
          <w:bCs w:val="0"/>
          <w:i/>
          <w:iCs/>
          <w:sz w:val="24"/>
          <w:szCs w:val="24"/>
        </w:rPr>
        <w:t xml:space="preserve"> </w:t>
      </w:r>
      <w:proofErr w:type="spellStart"/>
      <w:r w:rsidRPr="003D13FC">
        <w:rPr>
          <w:rFonts w:ascii="Arial" w:hAnsi="Arial" w:cs="Arial"/>
          <w:b w:val="0"/>
          <w:bCs w:val="0"/>
          <w:i/>
          <w:iCs/>
          <w:sz w:val="24"/>
          <w:szCs w:val="24"/>
        </w:rPr>
        <w:t>of</w:t>
      </w:r>
      <w:proofErr w:type="spellEnd"/>
      <w:r w:rsidRPr="003D13FC">
        <w:rPr>
          <w:rFonts w:ascii="Arial" w:hAnsi="Arial" w:cs="Arial"/>
          <w:b w:val="0"/>
          <w:bCs w:val="0"/>
          <w:i/>
          <w:iCs/>
          <w:sz w:val="24"/>
          <w:szCs w:val="24"/>
        </w:rPr>
        <w:t xml:space="preserve"> </w:t>
      </w:r>
      <w:proofErr w:type="spellStart"/>
      <w:r w:rsidRPr="003D13FC">
        <w:rPr>
          <w:rFonts w:ascii="Arial" w:hAnsi="Arial" w:cs="Arial"/>
          <w:b w:val="0"/>
          <w:bCs w:val="0"/>
          <w:i/>
          <w:iCs/>
          <w:sz w:val="24"/>
          <w:szCs w:val="24"/>
        </w:rPr>
        <w:t>Criminology</w:t>
      </w:r>
      <w:proofErr w:type="spellEnd"/>
      <w:r w:rsidRPr="003D13FC">
        <w:rPr>
          <w:rFonts w:ascii="Arial" w:hAnsi="Arial" w:cs="Arial"/>
          <w:b w:val="0"/>
          <w:bCs w:val="0"/>
          <w:sz w:val="24"/>
          <w:szCs w:val="24"/>
        </w:rPr>
        <w:t xml:space="preserve">, 13(4), 437–455. </w:t>
      </w:r>
    </w:p>
    <w:p w14:paraId="49290729" w14:textId="77777777" w:rsidR="00212BF7" w:rsidRPr="00D12A9C" w:rsidRDefault="00212BF7" w:rsidP="00212BF7">
      <w:pPr>
        <w:pStyle w:val="Ttulo1"/>
        <w:spacing w:before="120" w:line="360" w:lineRule="auto"/>
        <w:ind w:left="142"/>
        <w:jc w:val="both"/>
        <w:rPr>
          <w:rFonts w:ascii="Arial" w:hAnsi="Arial" w:cs="Arial"/>
          <w:b w:val="0"/>
          <w:bCs w:val="0"/>
          <w:sz w:val="24"/>
          <w:szCs w:val="24"/>
        </w:rPr>
      </w:pPr>
      <w:r w:rsidRPr="003D13FC">
        <w:rPr>
          <w:rFonts w:ascii="Arial" w:hAnsi="Arial" w:cs="Arial"/>
          <w:b w:val="0"/>
          <w:bCs w:val="0"/>
          <w:sz w:val="24"/>
          <w:szCs w:val="24"/>
        </w:rPr>
        <w:t xml:space="preserve">Palhau, J. (2017). </w:t>
      </w:r>
      <w:r w:rsidRPr="00D12A9C">
        <w:rPr>
          <w:rFonts w:ascii="Arial" w:hAnsi="Arial" w:cs="Arial"/>
          <w:b w:val="0"/>
          <w:bCs w:val="0"/>
          <w:i/>
          <w:iCs/>
          <w:sz w:val="24"/>
          <w:szCs w:val="24"/>
        </w:rPr>
        <w:t>Políticas públicas de segurança e governação integrada</w:t>
      </w:r>
      <w:r w:rsidRPr="00D12A9C">
        <w:rPr>
          <w:rFonts w:ascii="Arial" w:hAnsi="Arial" w:cs="Arial"/>
          <w:b w:val="0"/>
          <w:bCs w:val="0"/>
          <w:sz w:val="24"/>
          <w:szCs w:val="24"/>
        </w:rPr>
        <w:t>. Lisboa: ISCPSI.</w:t>
      </w:r>
    </w:p>
    <w:p w14:paraId="46049439" w14:textId="77777777" w:rsidR="00212BF7" w:rsidRPr="002347F5" w:rsidRDefault="00212BF7" w:rsidP="00212BF7">
      <w:pPr>
        <w:pStyle w:val="Ttulo1"/>
        <w:spacing w:before="120" w:line="360" w:lineRule="auto"/>
        <w:ind w:left="142"/>
        <w:jc w:val="both"/>
        <w:rPr>
          <w:rFonts w:ascii="Arial" w:hAnsi="Arial" w:cs="Arial"/>
          <w:b w:val="0"/>
          <w:bCs w:val="0"/>
          <w:sz w:val="24"/>
          <w:szCs w:val="24"/>
          <w:lang w:val="en-US"/>
        </w:rPr>
      </w:pPr>
      <w:r w:rsidRPr="00D12A9C">
        <w:rPr>
          <w:rFonts w:ascii="Arial" w:hAnsi="Arial" w:cs="Arial"/>
          <w:b w:val="0"/>
          <w:bCs w:val="0"/>
          <w:sz w:val="24"/>
          <w:szCs w:val="24"/>
        </w:rPr>
        <w:t xml:space="preserve">Resolução do Conselho de Ministros n.º 91/2023. </w:t>
      </w:r>
      <w:r w:rsidRPr="00D12A9C">
        <w:rPr>
          <w:rFonts w:ascii="Arial" w:hAnsi="Arial" w:cs="Arial"/>
          <w:b w:val="0"/>
          <w:bCs w:val="0"/>
          <w:i/>
          <w:iCs/>
          <w:sz w:val="24"/>
          <w:szCs w:val="24"/>
        </w:rPr>
        <w:t>Estratégia Integrada de Segurança Urbana</w:t>
      </w:r>
      <w:r w:rsidRPr="00D12A9C">
        <w:rPr>
          <w:rFonts w:ascii="Arial" w:hAnsi="Arial" w:cs="Arial"/>
          <w:b w:val="0"/>
          <w:bCs w:val="0"/>
          <w:sz w:val="24"/>
          <w:szCs w:val="24"/>
        </w:rPr>
        <w:t xml:space="preserve">. </w:t>
      </w:r>
      <w:proofErr w:type="spellStart"/>
      <w:r w:rsidRPr="002347F5">
        <w:rPr>
          <w:rFonts w:ascii="Arial" w:hAnsi="Arial" w:cs="Arial"/>
          <w:b w:val="0"/>
          <w:bCs w:val="0"/>
          <w:sz w:val="24"/>
          <w:szCs w:val="24"/>
          <w:lang w:val="en-US"/>
        </w:rPr>
        <w:t>Diário</w:t>
      </w:r>
      <w:proofErr w:type="spellEnd"/>
      <w:r w:rsidRPr="002347F5">
        <w:rPr>
          <w:rFonts w:ascii="Arial" w:hAnsi="Arial" w:cs="Arial"/>
          <w:b w:val="0"/>
          <w:bCs w:val="0"/>
          <w:sz w:val="24"/>
          <w:szCs w:val="24"/>
          <w:lang w:val="en-US"/>
        </w:rPr>
        <w:t xml:space="preserve"> da República, 1.ª </w:t>
      </w:r>
      <w:proofErr w:type="spellStart"/>
      <w:r w:rsidRPr="002347F5">
        <w:rPr>
          <w:rFonts w:ascii="Arial" w:hAnsi="Arial" w:cs="Arial"/>
          <w:b w:val="0"/>
          <w:bCs w:val="0"/>
          <w:sz w:val="24"/>
          <w:szCs w:val="24"/>
          <w:lang w:val="en-US"/>
        </w:rPr>
        <w:t>série</w:t>
      </w:r>
      <w:proofErr w:type="spellEnd"/>
      <w:r w:rsidRPr="002347F5">
        <w:rPr>
          <w:rFonts w:ascii="Arial" w:hAnsi="Arial" w:cs="Arial"/>
          <w:b w:val="0"/>
          <w:bCs w:val="0"/>
          <w:sz w:val="24"/>
          <w:szCs w:val="24"/>
          <w:lang w:val="en-US"/>
        </w:rPr>
        <w:t>.</w:t>
      </w:r>
    </w:p>
    <w:p w14:paraId="66DA662D" w14:textId="77777777" w:rsidR="00212BF7" w:rsidRPr="00D12A9C" w:rsidRDefault="00212BF7" w:rsidP="00212BF7">
      <w:pPr>
        <w:pStyle w:val="Ttulo1"/>
        <w:spacing w:before="120" w:line="360" w:lineRule="auto"/>
        <w:ind w:left="142"/>
        <w:jc w:val="both"/>
        <w:rPr>
          <w:rFonts w:ascii="Arial" w:hAnsi="Arial" w:cs="Arial"/>
          <w:b w:val="0"/>
          <w:bCs w:val="0"/>
          <w:sz w:val="24"/>
          <w:szCs w:val="24"/>
          <w:lang w:val="en-US"/>
        </w:rPr>
      </w:pPr>
      <w:r w:rsidRPr="00D12A9C">
        <w:rPr>
          <w:rFonts w:ascii="Arial" w:hAnsi="Arial" w:cs="Arial"/>
          <w:b w:val="0"/>
          <w:bCs w:val="0"/>
          <w:sz w:val="24"/>
          <w:szCs w:val="24"/>
          <w:lang w:val="en-US"/>
        </w:rPr>
        <w:t xml:space="preserve">Saville, G., &amp; Mihinjac, M. (2019). </w:t>
      </w:r>
      <w:r w:rsidRPr="00D12A9C">
        <w:rPr>
          <w:rFonts w:ascii="Arial" w:hAnsi="Arial" w:cs="Arial"/>
          <w:b w:val="0"/>
          <w:bCs w:val="0"/>
          <w:i/>
          <w:iCs/>
          <w:sz w:val="24"/>
          <w:szCs w:val="24"/>
          <w:lang w:val="en-US"/>
        </w:rPr>
        <w:t>Third-generation CPTED and the future of crime prevention</w:t>
      </w:r>
      <w:r w:rsidRPr="00D12A9C">
        <w:rPr>
          <w:rFonts w:ascii="Arial" w:hAnsi="Arial" w:cs="Arial"/>
          <w:b w:val="0"/>
          <w:bCs w:val="0"/>
          <w:sz w:val="24"/>
          <w:szCs w:val="24"/>
          <w:lang w:val="en-US"/>
        </w:rPr>
        <w:t>. London: Routledge.</w:t>
      </w:r>
    </w:p>
    <w:p w14:paraId="638EA8A8" w14:textId="77777777" w:rsidR="00212BF7" w:rsidRPr="00D12A9C" w:rsidRDefault="00212BF7" w:rsidP="00212BF7">
      <w:pPr>
        <w:pStyle w:val="Ttulo1"/>
        <w:spacing w:before="120" w:line="360" w:lineRule="auto"/>
        <w:ind w:left="142"/>
        <w:jc w:val="both"/>
        <w:rPr>
          <w:rFonts w:ascii="Arial" w:hAnsi="Arial" w:cs="Arial"/>
          <w:b w:val="0"/>
          <w:bCs w:val="0"/>
          <w:sz w:val="24"/>
          <w:szCs w:val="24"/>
          <w:lang w:val="en-US"/>
        </w:rPr>
      </w:pPr>
      <w:r w:rsidRPr="00D12A9C">
        <w:rPr>
          <w:rFonts w:ascii="Arial" w:hAnsi="Arial" w:cs="Arial"/>
          <w:b w:val="0"/>
          <w:bCs w:val="0"/>
          <w:sz w:val="24"/>
          <w:szCs w:val="24"/>
          <w:lang w:val="en-US"/>
        </w:rPr>
        <w:t xml:space="preserve">Stummvoll, G. (2017). Community policing and social prevention strategies. </w:t>
      </w:r>
      <w:r w:rsidRPr="00D12A9C">
        <w:rPr>
          <w:rFonts w:ascii="Arial" w:hAnsi="Arial" w:cs="Arial"/>
          <w:b w:val="0"/>
          <w:bCs w:val="0"/>
          <w:i/>
          <w:iCs/>
          <w:sz w:val="24"/>
          <w:szCs w:val="24"/>
          <w:lang w:val="en-US"/>
        </w:rPr>
        <w:t>Policing: A Journal of Policy and Practice</w:t>
      </w:r>
      <w:r w:rsidRPr="00D12A9C">
        <w:rPr>
          <w:rFonts w:ascii="Arial" w:hAnsi="Arial" w:cs="Arial"/>
          <w:b w:val="0"/>
          <w:bCs w:val="0"/>
          <w:sz w:val="24"/>
          <w:szCs w:val="24"/>
          <w:lang w:val="en-US"/>
        </w:rPr>
        <w:t>, 11(2), 123–135.</w:t>
      </w:r>
    </w:p>
    <w:p w14:paraId="72E92CD7" w14:textId="77777777" w:rsidR="00212BF7" w:rsidRPr="00D12A9C" w:rsidRDefault="00212BF7" w:rsidP="00212BF7">
      <w:pPr>
        <w:pStyle w:val="Ttulo1"/>
        <w:spacing w:before="120" w:line="360" w:lineRule="auto"/>
        <w:ind w:left="142"/>
        <w:jc w:val="both"/>
        <w:rPr>
          <w:rFonts w:ascii="Arial" w:hAnsi="Arial" w:cs="Arial"/>
          <w:b w:val="0"/>
          <w:bCs w:val="0"/>
          <w:sz w:val="24"/>
          <w:szCs w:val="24"/>
        </w:rPr>
      </w:pPr>
      <w:r w:rsidRPr="00D12A9C">
        <w:rPr>
          <w:rFonts w:ascii="Arial" w:hAnsi="Arial" w:cs="Arial"/>
          <w:b w:val="0"/>
          <w:bCs w:val="0"/>
          <w:sz w:val="24"/>
          <w:szCs w:val="24"/>
          <w:lang w:val="en-US"/>
        </w:rPr>
        <w:t xml:space="preserve">Trisman, D. (2002). Defining and measuring decentralization: A global perspective. </w:t>
      </w:r>
      <w:proofErr w:type="spellStart"/>
      <w:r w:rsidRPr="00D12A9C">
        <w:rPr>
          <w:rFonts w:ascii="Arial" w:hAnsi="Arial" w:cs="Arial"/>
          <w:b w:val="0"/>
          <w:bCs w:val="0"/>
          <w:i/>
          <w:iCs/>
          <w:sz w:val="24"/>
          <w:szCs w:val="24"/>
        </w:rPr>
        <w:t>World</w:t>
      </w:r>
      <w:proofErr w:type="spellEnd"/>
      <w:r w:rsidRPr="00D12A9C">
        <w:rPr>
          <w:rFonts w:ascii="Arial" w:hAnsi="Arial" w:cs="Arial"/>
          <w:b w:val="0"/>
          <w:bCs w:val="0"/>
          <w:i/>
          <w:iCs/>
          <w:sz w:val="24"/>
          <w:szCs w:val="24"/>
        </w:rPr>
        <w:t xml:space="preserve"> </w:t>
      </w:r>
      <w:proofErr w:type="spellStart"/>
      <w:r w:rsidRPr="00D12A9C">
        <w:rPr>
          <w:rFonts w:ascii="Arial" w:hAnsi="Arial" w:cs="Arial"/>
          <w:b w:val="0"/>
          <w:bCs w:val="0"/>
          <w:i/>
          <w:iCs/>
          <w:sz w:val="24"/>
          <w:szCs w:val="24"/>
        </w:rPr>
        <w:t>Development</w:t>
      </w:r>
      <w:proofErr w:type="spellEnd"/>
      <w:r w:rsidRPr="00D12A9C">
        <w:rPr>
          <w:rFonts w:ascii="Arial" w:hAnsi="Arial" w:cs="Arial"/>
          <w:b w:val="0"/>
          <w:bCs w:val="0"/>
          <w:sz w:val="24"/>
          <w:szCs w:val="24"/>
        </w:rPr>
        <w:t>, 30(8), 1299–1313.</w:t>
      </w:r>
    </w:p>
    <w:p w14:paraId="766A1EF3" w14:textId="77777777" w:rsidR="00212BF7" w:rsidRPr="00D12A9C" w:rsidRDefault="00212BF7" w:rsidP="00212BF7">
      <w:pPr>
        <w:pStyle w:val="Ttulo1"/>
        <w:spacing w:before="120" w:line="360" w:lineRule="auto"/>
        <w:ind w:left="142"/>
        <w:jc w:val="both"/>
        <w:rPr>
          <w:rFonts w:ascii="Arial" w:hAnsi="Arial" w:cs="Arial"/>
          <w:b w:val="0"/>
          <w:bCs w:val="0"/>
          <w:sz w:val="24"/>
          <w:szCs w:val="24"/>
          <w:lang w:val="en-US"/>
        </w:rPr>
      </w:pPr>
      <w:r w:rsidRPr="00D12A9C">
        <w:rPr>
          <w:rFonts w:ascii="Arial" w:hAnsi="Arial" w:cs="Arial"/>
          <w:b w:val="0"/>
          <w:bCs w:val="0"/>
          <w:sz w:val="24"/>
          <w:szCs w:val="24"/>
        </w:rPr>
        <w:t xml:space="preserve">Valdez López, R. (2018). </w:t>
      </w:r>
      <w:proofErr w:type="spellStart"/>
      <w:r w:rsidRPr="00D12A9C">
        <w:rPr>
          <w:rFonts w:ascii="Arial" w:hAnsi="Arial" w:cs="Arial"/>
          <w:b w:val="0"/>
          <w:bCs w:val="0"/>
          <w:i/>
          <w:iCs/>
          <w:sz w:val="24"/>
          <w:szCs w:val="24"/>
        </w:rPr>
        <w:t>Inseguridad</w:t>
      </w:r>
      <w:proofErr w:type="spellEnd"/>
      <w:r w:rsidRPr="00D12A9C">
        <w:rPr>
          <w:rFonts w:ascii="Arial" w:hAnsi="Arial" w:cs="Arial"/>
          <w:b w:val="0"/>
          <w:bCs w:val="0"/>
          <w:i/>
          <w:iCs/>
          <w:sz w:val="24"/>
          <w:szCs w:val="24"/>
        </w:rPr>
        <w:t xml:space="preserve"> urbana y </w:t>
      </w:r>
      <w:proofErr w:type="spellStart"/>
      <w:r w:rsidRPr="00D12A9C">
        <w:rPr>
          <w:rFonts w:ascii="Arial" w:hAnsi="Arial" w:cs="Arial"/>
          <w:b w:val="0"/>
          <w:bCs w:val="0"/>
          <w:i/>
          <w:iCs/>
          <w:sz w:val="24"/>
          <w:szCs w:val="24"/>
        </w:rPr>
        <w:t>desigualdad</w:t>
      </w:r>
      <w:proofErr w:type="spellEnd"/>
      <w:r w:rsidRPr="00D12A9C">
        <w:rPr>
          <w:rFonts w:ascii="Arial" w:hAnsi="Arial" w:cs="Arial"/>
          <w:b w:val="0"/>
          <w:bCs w:val="0"/>
          <w:i/>
          <w:iCs/>
          <w:sz w:val="24"/>
          <w:szCs w:val="24"/>
        </w:rPr>
        <w:t xml:space="preserve"> </w:t>
      </w:r>
      <w:proofErr w:type="spellStart"/>
      <w:r w:rsidRPr="00D12A9C">
        <w:rPr>
          <w:rFonts w:ascii="Arial" w:hAnsi="Arial" w:cs="Arial"/>
          <w:b w:val="0"/>
          <w:bCs w:val="0"/>
          <w:i/>
          <w:iCs/>
          <w:sz w:val="24"/>
          <w:szCs w:val="24"/>
        </w:rPr>
        <w:t>socioespacial</w:t>
      </w:r>
      <w:proofErr w:type="spellEnd"/>
      <w:r w:rsidRPr="00D12A9C">
        <w:rPr>
          <w:rFonts w:ascii="Arial" w:hAnsi="Arial" w:cs="Arial"/>
          <w:b w:val="0"/>
          <w:bCs w:val="0"/>
          <w:sz w:val="24"/>
          <w:szCs w:val="24"/>
        </w:rPr>
        <w:t xml:space="preserve">. </w:t>
      </w:r>
      <w:r w:rsidRPr="00D12A9C">
        <w:rPr>
          <w:rFonts w:ascii="Arial" w:hAnsi="Arial" w:cs="Arial"/>
          <w:b w:val="0"/>
          <w:bCs w:val="0"/>
          <w:sz w:val="24"/>
          <w:szCs w:val="24"/>
          <w:lang w:val="en-US"/>
        </w:rPr>
        <w:t xml:space="preserve">Madrid: Editorial </w:t>
      </w:r>
      <w:proofErr w:type="spellStart"/>
      <w:r w:rsidRPr="00D12A9C">
        <w:rPr>
          <w:rFonts w:ascii="Arial" w:hAnsi="Arial" w:cs="Arial"/>
          <w:b w:val="0"/>
          <w:bCs w:val="0"/>
          <w:sz w:val="24"/>
          <w:szCs w:val="24"/>
          <w:lang w:val="en-US"/>
        </w:rPr>
        <w:t>Síntesis</w:t>
      </w:r>
      <w:proofErr w:type="spellEnd"/>
      <w:r w:rsidRPr="00D12A9C">
        <w:rPr>
          <w:rFonts w:ascii="Arial" w:hAnsi="Arial" w:cs="Arial"/>
          <w:b w:val="0"/>
          <w:bCs w:val="0"/>
          <w:sz w:val="24"/>
          <w:szCs w:val="24"/>
          <w:lang w:val="en-US"/>
        </w:rPr>
        <w:t>.</w:t>
      </w:r>
    </w:p>
    <w:p w14:paraId="64D27E2D" w14:textId="79E04345" w:rsidR="00E83DCF" w:rsidRDefault="00212BF7" w:rsidP="00B575A7">
      <w:pPr>
        <w:pStyle w:val="Ttulo1"/>
        <w:spacing w:before="120" w:line="360" w:lineRule="auto"/>
        <w:ind w:left="142"/>
        <w:jc w:val="both"/>
        <w:rPr>
          <w:rFonts w:ascii="Arial" w:hAnsi="Arial" w:cs="Arial"/>
          <w:b w:val="0"/>
          <w:bCs w:val="0"/>
          <w:sz w:val="24"/>
          <w:szCs w:val="24"/>
          <w:lang w:val="en-US"/>
        </w:rPr>
      </w:pPr>
      <w:r w:rsidRPr="00D12A9C">
        <w:rPr>
          <w:rFonts w:ascii="Arial" w:hAnsi="Arial" w:cs="Arial"/>
          <w:b w:val="0"/>
          <w:bCs w:val="0"/>
          <w:sz w:val="24"/>
          <w:szCs w:val="24"/>
          <w:lang w:val="en-US"/>
        </w:rPr>
        <w:t xml:space="preserve">Zedner, L. (2003). </w:t>
      </w:r>
      <w:r w:rsidRPr="00D12A9C">
        <w:rPr>
          <w:rFonts w:ascii="Arial" w:hAnsi="Arial" w:cs="Arial"/>
          <w:b w:val="0"/>
          <w:bCs w:val="0"/>
          <w:i/>
          <w:iCs/>
          <w:sz w:val="24"/>
          <w:szCs w:val="24"/>
          <w:lang w:val="en-US"/>
        </w:rPr>
        <w:t>Too much security?</w:t>
      </w:r>
      <w:r w:rsidRPr="00D12A9C">
        <w:rPr>
          <w:rFonts w:ascii="Arial" w:hAnsi="Arial" w:cs="Arial"/>
          <w:b w:val="0"/>
          <w:bCs w:val="0"/>
          <w:sz w:val="24"/>
          <w:szCs w:val="24"/>
          <w:lang w:val="en-US"/>
        </w:rPr>
        <w:t xml:space="preserve"> </w:t>
      </w:r>
      <w:r w:rsidRPr="00D12A9C">
        <w:rPr>
          <w:rFonts w:ascii="Arial" w:hAnsi="Arial" w:cs="Arial"/>
          <w:b w:val="0"/>
          <w:bCs w:val="0"/>
          <w:i/>
          <w:iCs/>
          <w:sz w:val="24"/>
          <w:szCs w:val="24"/>
          <w:lang w:val="en-US"/>
        </w:rPr>
        <w:t>International Journal of the Sociology of Law</w:t>
      </w:r>
      <w:r w:rsidRPr="00D12A9C">
        <w:rPr>
          <w:rFonts w:ascii="Arial" w:hAnsi="Arial" w:cs="Arial"/>
          <w:b w:val="0"/>
          <w:bCs w:val="0"/>
          <w:sz w:val="24"/>
          <w:szCs w:val="24"/>
          <w:lang w:val="en-US"/>
        </w:rPr>
        <w:t>, 31(3), 155–184.</w:t>
      </w:r>
    </w:p>
    <w:p w14:paraId="281029F0" w14:textId="35689CF4" w:rsidR="00B575A7" w:rsidRPr="00B575A7" w:rsidRDefault="00B575A7" w:rsidP="00B575A7">
      <w:pPr>
        <w:pStyle w:val="Ttulo1"/>
        <w:spacing w:before="120" w:line="360" w:lineRule="auto"/>
        <w:ind w:left="142"/>
        <w:jc w:val="both"/>
        <w:rPr>
          <w:rFonts w:ascii="Arial" w:hAnsi="Arial" w:cs="Arial"/>
          <w:sz w:val="24"/>
          <w:szCs w:val="24"/>
        </w:rPr>
      </w:pPr>
      <w:r w:rsidRPr="00B575A7">
        <w:rPr>
          <w:rFonts w:ascii="Arial" w:hAnsi="Arial" w:cs="Arial"/>
          <w:sz w:val="24"/>
          <w:szCs w:val="24"/>
        </w:rPr>
        <w:t>Legislação</w:t>
      </w:r>
    </w:p>
    <w:p w14:paraId="6F3180BC" w14:textId="77777777" w:rsidR="00B575A7" w:rsidRPr="00B575A7" w:rsidRDefault="00B575A7" w:rsidP="00B575A7">
      <w:pPr>
        <w:pStyle w:val="Ttulo1"/>
        <w:spacing w:before="120" w:line="360" w:lineRule="auto"/>
        <w:ind w:left="142"/>
        <w:jc w:val="both"/>
        <w:rPr>
          <w:rFonts w:ascii="Arial" w:hAnsi="Arial" w:cs="Arial"/>
          <w:b w:val="0"/>
          <w:bCs w:val="0"/>
          <w:sz w:val="24"/>
          <w:szCs w:val="24"/>
        </w:rPr>
      </w:pPr>
      <w:r w:rsidRPr="00B575A7">
        <w:rPr>
          <w:rFonts w:ascii="Arial" w:hAnsi="Arial" w:cs="Arial"/>
          <w:b w:val="0"/>
          <w:bCs w:val="0"/>
          <w:sz w:val="24"/>
          <w:szCs w:val="24"/>
        </w:rPr>
        <w:t>Constituição da República Portuguesa. (2005). VII Revisão Constitucional. Lisboa: Assembleia da República.</w:t>
      </w:r>
    </w:p>
    <w:p w14:paraId="6D652E8E" w14:textId="77777777" w:rsidR="00B575A7" w:rsidRPr="00B575A7" w:rsidRDefault="00B575A7" w:rsidP="00B575A7">
      <w:pPr>
        <w:pStyle w:val="Ttulo1"/>
        <w:spacing w:before="120" w:line="360" w:lineRule="auto"/>
        <w:ind w:left="142"/>
        <w:jc w:val="both"/>
        <w:rPr>
          <w:rFonts w:ascii="Arial" w:hAnsi="Arial" w:cs="Arial"/>
          <w:b w:val="0"/>
          <w:bCs w:val="0"/>
          <w:sz w:val="24"/>
          <w:szCs w:val="24"/>
        </w:rPr>
      </w:pPr>
      <w:r w:rsidRPr="00B575A7">
        <w:rPr>
          <w:rFonts w:ascii="Arial" w:hAnsi="Arial" w:cs="Arial"/>
          <w:b w:val="0"/>
          <w:bCs w:val="0"/>
          <w:sz w:val="24"/>
          <w:szCs w:val="24"/>
        </w:rPr>
        <w:t>Lei n.º 53/2008, de 29 de agosto. Lei de Segurança Interna. Diário da República, 1.ª série, n.º 166.</w:t>
      </w:r>
    </w:p>
    <w:p w14:paraId="73AD4170" w14:textId="77777777" w:rsidR="00B575A7" w:rsidRPr="00B575A7" w:rsidRDefault="00B575A7" w:rsidP="00B575A7">
      <w:pPr>
        <w:pStyle w:val="Ttulo1"/>
        <w:spacing w:before="120" w:line="360" w:lineRule="auto"/>
        <w:ind w:left="142"/>
        <w:jc w:val="both"/>
        <w:rPr>
          <w:rFonts w:ascii="Arial" w:hAnsi="Arial" w:cs="Arial"/>
          <w:b w:val="0"/>
          <w:bCs w:val="0"/>
          <w:sz w:val="24"/>
          <w:szCs w:val="24"/>
        </w:rPr>
      </w:pPr>
      <w:r w:rsidRPr="00B575A7">
        <w:rPr>
          <w:rFonts w:ascii="Arial" w:hAnsi="Arial" w:cs="Arial"/>
          <w:b w:val="0"/>
          <w:bCs w:val="0"/>
          <w:sz w:val="24"/>
          <w:szCs w:val="24"/>
        </w:rPr>
        <w:t>Lei n.º 75/2013, de 12 de setembro. Regime jurídico das autarquias locais. Diário da República, 1.ª série, n.º 176.</w:t>
      </w:r>
    </w:p>
    <w:p w14:paraId="1B79505E" w14:textId="77777777" w:rsidR="00B575A7" w:rsidRPr="00B575A7" w:rsidRDefault="00B575A7" w:rsidP="00B575A7">
      <w:pPr>
        <w:pStyle w:val="Ttulo1"/>
        <w:spacing w:before="120" w:line="360" w:lineRule="auto"/>
        <w:ind w:left="142"/>
        <w:jc w:val="both"/>
        <w:rPr>
          <w:rFonts w:ascii="Arial" w:hAnsi="Arial" w:cs="Arial"/>
          <w:b w:val="0"/>
          <w:bCs w:val="0"/>
          <w:sz w:val="24"/>
          <w:szCs w:val="24"/>
        </w:rPr>
      </w:pPr>
      <w:r w:rsidRPr="00B575A7">
        <w:rPr>
          <w:rFonts w:ascii="Arial" w:hAnsi="Arial" w:cs="Arial"/>
          <w:b w:val="0"/>
          <w:bCs w:val="0"/>
          <w:sz w:val="24"/>
          <w:szCs w:val="24"/>
        </w:rPr>
        <w:t>Resolução do Conselho de Ministros n.º 91/2023. Estratégia Integrada de Segurança Urbana. Diário da República, 1.ª série.</w:t>
      </w:r>
    </w:p>
    <w:p w14:paraId="3F891509" w14:textId="43839894" w:rsidR="008B2415" w:rsidRPr="00D12A9C" w:rsidRDefault="00B575A7" w:rsidP="00B575A7">
      <w:pPr>
        <w:pStyle w:val="Ttulo1"/>
        <w:spacing w:before="120" w:line="360" w:lineRule="auto"/>
        <w:ind w:left="142"/>
        <w:jc w:val="both"/>
        <w:rPr>
          <w:rFonts w:ascii="Arial" w:hAnsi="Arial" w:cs="Arial"/>
          <w:b w:val="0"/>
          <w:bCs w:val="0"/>
          <w:sz w:val="24"/>
          <w:szCs w:val="24"/>
        </w:rPr>
      </w:pPr>
      <w:r w:rsidRPr="00B575A7">
        <w:rPr>
          <w:rFonts w:ascii="Arial" w:hAnsi="Arial" w:cs="Arial"/>
          <w:b w:val="0"/>
          <w:bCs w:val="0"/>
          <w:sz w:val="24"/>
          <w:szCs w:val="24"/>
        </w:rPr>
        <w:t>RASI – Relatório Anual de Segurança Interna. (Vários anos). Lisboa: Ministério da Administração Interna.</w:t>
      </w:r>
    </w:p>
    <w:p w14:paraId="70A1F457" w14:textId="77777777" w:rsidR="00E83DCF" w:rsidRPr="008B2415" w:rsidRDefault="00E83DCF" w:rsidP="008B2415">
      <w:pPr>
        <w:pStyle w:val="Ttulo1"/>
        <w:spacing w:line="360" w:lineRule="auto"/>
        <w:jc w:val="both"/>
        <w:rPr>
          <w:rFonts w:ascii="Times New Roman" w:hAnsi="Times New Roman" w:cs="Times New Roman"/>
          <w:b w:val="0"/>
          <w:bCs w:val="0"/>
          <w:sz w:val="24"/>
          <w:szCs w:val="24"/>
        </w:rPr>
      </w:pPr>
    </w:p>
    <w:p w14:paraId="09ECEE23" w14:textId="77777777" w:rsidR="00E83DCF" w:rsidRPr="008B2415" w:rsidRDefault="00E83DCF" w:rsidP="00435746">
      <w:pPr>
        <w:pStyle w:val="Ttulo1"/>
        <w:spacing w:line="360" w:lineRule="auto"/>
        <w:jc w:val="center"/>
        <w:rPr>
          <w:rFonts w:ascii="Times New Roman" w:hAnsi="Times New Roman" w:cs="Times New Roman"/>
          <w:b w:val="0"/>
          <w:bCs w:val="0"/>
          <w:sz w:val="24"/>
          <w:szCs w:val="24"/>
        </w:rPr>
      </w:pPr>
    </w:p>
    <w:p w14:paraId="661650E1" w14:textId="77777777" w:rsidR="00E83DCF" w:rsidRPr="008B2415" w:rsidRDefault="00E83DCF" w:rsidP="00435746">
      <w:pPr>
        <w:pStyle w:val="Ttulo1"/>
        <w:spacing w:line="360" w:lineRule="auto"/>
        <w:jc w:val="center"/>
        <w:rPr>
          <w:rFonts w:ascii="Times New Roman" w:hAnsi="Times New Roman" w:cs="Times New Roman"/>
          <w:b w:val="0"/>
          <w:bCs w:val="0"/>
          <w:sz w:val="24"/>
          <w:szCs w:val="24"/>
        </w:rPr>
      </w:pPr>
    </w:p>
    <w:p w14:paraId="3A6F7FA8" w14:textId="77777777" w:rsidR="00E83DCF" w:rsidRPr="008B2415" w:rsidRDefault="00E83DCF" w:rsidP="00435746">
      <w:pPr>
        <w:pStyle w:val="Ttulo1"/>
        <w:spacing w:line="360" w:lineRule="auto"/>
        <w:jc w:val="center"/>
        <w:rPr>
          <w:rFonts w:ascii="Times New Roman" w:hAnsi="Times New Roman" w:cs="Times New Roman"/>
          <w:b w:val="0"/>
          <w:bCs w:val="0"/>
          <w:sz w:val="24"/>
          <w:szCs w:val="24"/>
        </w:rPr>
      </w:pPr>
    </w:p>
    <w:sectPr w:rsidR="00E83DCF" w:rsidRPr="008B2415" w:rsidSect="008F3D15">
      <w:headerReference w:type="default" r:id="rId12"/>
      <w:footerReference w:type="even" r:id="rId13"/>
      <w:footerReference w:type="default" r:id="rId14"/>
      <w:pgSz w:w="11900" w:h="16840"/>
      <w:pgMar w:top="1417" w:right="1701" w:bottom="1417" w:left="1701" w:header="712" w:footer="150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43D8D" w14:textId="77777777" w:rsidR="00045FF4" w:rsidRDefault="00045FF4">
      <w:r>
        <w:separator/>
      </w:r>
    </w:p>
  </w:endnote>
  <w:endnote w:type="continuationSeparator" w:id="0">
    <w:p w14:paraId="12748FE2" w14:textId="77777777" w:rsidR="00045FF4" w:rsidRDefault="00045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793323444"/>
      <w:docPartObj>
        <w:docPartGallery w:val="Page Numbers (Bottom of Page)"/>
        <w:docPartUnique/>
      </w:docPartObj>
    </w:sdtPr>
    <w:sdtEndPr>
      <w:rPr>
        <w:rStyle w:val="Nmerodepgina"/>
      </w:rPr>
    </w:sdtEndPr>
    <w:sdtContent>
      <w:p w14:paraId="333C8458" w14:textId="3239FF0A" w:rsidR="00B471D3" w:rsidRDefault="00B471D3" w:rsidP="00CF0F7C">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8904F3C" w14:textId="77777777" w:rsidR="00B471D3" w:rsidRDefault="00B471D3" w:rsidP="00B471D3">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98586246"/>
      <w:docPartObj>
        <w:docPartGallery w:val="Page Numbers (Bottom of Page)"/>
        <w:docPartUnique/>
      </w:docPartObj>
    </w:sdtPr>
    <w:sdtEndPr>
      <w:rPr>
        <w:rStyle w:val="Nmerodepgina"/>
      </w:rPr>
    </w:sdtEndPr>
    <w:sdtContent>
      <w:p w14:paraId="01204FBE" w14:textId="44D82884" w:rsidR="00B471D3" w:rsidRDefault="00B471D3" w:rsidP="00CF0F7C">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21</w:t>
        </w:r>
        <w:r>
          <w:rPr>
            <w:rStyle w:val="Nmerodepgina"/>
          </w:rPr>
          <w:fldChar w:fldCharType="end"/>
        </w:r>
      </w:p>
    </w:sdtContent>
  </w:sdt>
  <w:p w14:paraId="375DF2F3" w14:textId="5FBB2BC7" w:rsidR="0050572D" w:rsidRDefault="0050572D" w:rsidP="00B471D3">
    <w:pPr>
      <w:pStyle w:val="Corpodetexto"/>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9AA83" w14:textId="77777777" w:rsidR="00045FF4" w:rsidRDefault="00045FF4">
      <w:r>
        <w:separator/>
      </w:r>
    </w:p>
  </w:footnote>
  <w:footnote w:type="continuationSeparator" w:id="0">
    <w:p w14:paraId="53764D31" w14:textId="77777777" w:rsidR="00045FF4" w:rsidRDefault="00045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057C3" w14:textId="4F967C90" w:rsidR="0050572D" w:rsidRDefault="0050572D">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61DB"/>
    <w:multiLevelType w:val="hybridMultilevel"/>
    <w:tmpl w:val="F80CA0E4"/>
    <w:lvl w:ilvl="0" w:tplc="92E02642">
      <w:start w:val="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3A739D9"/>
    <w:multiLevelType w:val="multilevel"/>
    <w:tmpl w:val="F27E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F5734"/>
    <w:multiLevelType w:val="multilevel"/>
    <w:tmpl w:val="6EE2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E3680"/>
    <w:multiLevelType w:val="multilevel"/>
    <w:tmpl w:val="3AE4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664C2"/>
    <w:multiLevelType w:val="multilevel"/>
    <w:tmpl w:val="6270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652D1"/>
    <w:multiLevelType w:val="multilevel"/>
    <w:tmpl w:val="A3E0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283F22"/>
    <w:multiLevelType w:val="multilevel"/>
    <w:tmpl w:val="88D8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73AFD"/>
    <w:multiLevelType w:val="multilevel"/>
    <w:tmpl w:val="7118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3E3463"/>
    <w:multiLevelType w:val="multilevel"/>
    <w:tmpl w:val="DFC2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26500"/>
    <w:multiLevelType w:val="hybridMultilevel"/>
    <w:tmpl w:val="20D86AF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1789267F"/>
    <w:multiLevelType w:val="multilevel"/>
    <w:tmpl w:val="41584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A76139"/>
    <w:multiLevelType w:val="multilevel"/>
    <w:tmpl w:val="05A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C72BF2"/>
    <w:multiLevelType w:val="hybridMultilevel"/>
    <w:tmpl w:val="B64056B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1D91040E"/>
    <w:multiLevelType w:val="multilevel"/>
    <w:tmpl w:val="949E0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6D657C"/>
    <w:multiLevelType w:val="multilevel"/>
    <w:tmpl w:val="3696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2C0490"/>
    <w:multiLevelType w:val="multilevel"/>
    <w:tmpl w:val="86C6D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05154C"/>
    <w:multiLevelType w:val="multilevel"/>
    <w:tmpl w:val="8B0C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094002"/>
    <w:multiLevelType w:val="multilevel"/>
    <w:tmpl w:val="9D0A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645F0A"/>
    <w:multiLevelType w:val="multilevel"/>
    <w:tmpl w:val="9ABE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EA4C42"/>
    <w:multiLevelType w:val="multilevel"/>
    <w:tmpl w:val="89EE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250566"/>
    <w:multiLevelType w:val="multilevel"/>
    <w:tmpl w:val="8040B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67CE1"/>
    <w:multiLevelType w:val="multilevel"/>
    <w:tmpl w:val="38DC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2C557C"/>
    <w:multiLevelType w:val="multilevel"/>
    <w:tmpl w:val="5938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913674"/>
    <w:multiLevelType w:val="hybridMultilevel"/>
    <w:tmpl w:val="D008511C"/>
    <w:lvl w:ilvl="0" w:tplc="F2A08F78">
      <w:start w:val="1"/>
      <w:numFmt w:val="decimal"/>
      <w:lvlText w:val="%1."/>
      <w:lvlJc w:val="left"/>
      <w:pPr>
        <w:ind w:left="720" w:hanging="360"/>
      </w:pPr>
      <w:rPr>
        <w:rFonts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61B2CB9"/>
    <w:multiLevelType w:val="multilevel"/>
    <w:tmpl w:val="F58E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9B3D56"/>
    <w:multiLevelType w:val="multilevel"/>
    <w:tmpl w:val="92681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5B1AF9"/>
    <w:multiLevelType w:val="multilevel"/>
    <w:tmpl w:val="25884F9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4EB40C6B"/>
    <w:multiLevelType w:val="multilevel"/>
    <w:tmpl w:val="49BE5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BD6B10"/>
    <w:multiLevelType w:val="multilevel"/>
    <w:tmpl w:val="33AE1782"/>
    <w:lvl w:ilvl="0">
      <w:start w:val="1"/>
      <w:numFmt w:val="decimal"/>
      <w:lvlText w:val="%1."/>
      <w:lvlJc w:val="left"/>
      <w:pPr>
        <w:ind w:left="1067" w:hanging="360"/>
      </w:pPr>
      <w:rPr>
        <w:rFonts w:hint="default"/>
      </w:rPr>
    </w:lvl>
    <w:lvl w:ilvl="1">
      <w:start w:val="1"/>
      <w:numFmt w:val="decimal"/>
      <w:isLgl/>
      <w:lvlText w:val="%1.%2."/>
      <w:lvlJc w:val="left"/>
      <w:pPr>
        <w:ind w:left="1067" w:hanging="360"/>
      </w:pPr>
      <w:rPr>
        <w:rFonts w:hint="default"/>
      </w:rPr>
    </w:lvl>
    <w:lvl w:ilvl="2">
      <w:start w:val="1"/>
      <w:numFmt w:val="decimal"/>
      <w:isLgl/>
      <w:lvlText w:val="%1.%2.%3."/>
      <w:lvlJc w:val="left"/>
      <w:pPr>
        <w:ind w:left="1427" w:hanging="720"/>
      </w:pPr>
      <w:rPr>
        <w:rFonts w:hint="default"/>
      </w:rPr>
    </w:lvl>
    <w:lvl w:ilvl="3">
      <w:start w:val="1"/>
      <w:numFmt w:val="decimal"/>
      <w:isLgl/>
      <w:lvlText w:val="%1.%2.%3.%4."/>
      <w:lvlJc w:val="left"/>
      <w:pPr>
        <w:ind w:left="1427" w:hanging="720"/>
      </w:pPr>
      <w:rPr>
        <w:rFonts w:hint="default"/>
      </w:rPr>
    </w:lvl>
    <w:lvl w:ilvl="4">
      <w:start w:val="1"/>
      <w:numFmt w:val="decimal"/>
      <w:isLgl/>
      <w:lvlText w:val="%1.%2.%3.%4.%5."/>
      <w:lvlJc w:val="left"/>
      <w:pPr>
        <w:ind w:left="1787" w:hanging="1080"/>
      </w:pPr>
      <w:rPr>
        <w:rFonts w:hint="default"/>
      </w:rPr>
    </w:lvl>
    <w:lvl w:ilvl="5">
      <w:start w:val="1"/>
      <w:numFmt w:val="decimal"/>
      <w:isLgl/>
      <w:lvlText w:val="%1.%2.%3.%4.%5.%6."/>
      <w:lvlJc w:val="left"/>
      <w:pPr>
        <w:ind w:left="1787" w:hanging="1080"/>
      </w:pPr>
      <w:rPr>
        <w:rFonts w:hint="default"/>
      </w:rPr>
    </w:lvl>
    <w:lvl w:ilvl="6">
      <w:start w:val="1"/>
      <w:numFmt w:val="decimal"/>
      <w:isLgl/>
      <w:lvlText w:val="%1.%2.%3.%4.%5.%6.%7."/>
      <w:lvlJc w:val="left"/>
      <w:pPr>
        <w:ind w:left="2147" w:hanging="1440"/>
      </w:pPr>
      <w:rPr>
        <w:rFonts w:hint="default"/>
      </w:rPr>
    </w:lvl>
    <w:lvl w:ilvl="7">
      <w:start w:val="1"/>
      <w:numFmt w:val="decimal"/>
      <w:isLgl/>
      <w:lvlText w:val="%1.%2.%3.%4.%5.%6.%7.%8."/>
      <w:lvlJc w:val="left"/>
      <w:pPr>
        <w:ind w:left="2147" w:hanging="1440"/>
      </w:pPr>
      <w:rPr>
        <w:rFonts w:hint="default"/>
      </w:rPr>
    </w:lvl>
    <w:lvl w:ilvl="8">
      <w:start w:val="1"/>
      <w:numFmt w:val="decimal"/>
      <w:isLgl/>
      <w:lvlText w:val="%1.%2.%3.%4.%5.%6.%7.%8.%9."/>
      <w:lvlJc w:val="left"/>
      <w:pPr>
        <w:ind w:left="2507" w:hanging="1800"/>
      </w:pPr>
      <w:rPr>
        <w:rFonts w:hint="default"/>
      </w:rPr>
    </w:lvl>
  </w:abstractNum>
  <w:abstractNum w:abstractNumId="29" w15:restartNumberingAfterBreak="0">
    <w:nsid w:val="53EB28A2"/>
    <w:multiLevelType w:val="multilevel"/>
    <w:tmpl w:val="F718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B1458E"/>
    <w:multiLevelType w:val="multilevel"/>
    <w:tmpl w:val="43EA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8D1C22"/>
    <w:multiLevelType w:val="multilevel"/>
    <w:tmpl w:val="FD20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803C0F"/>
    <w:multiLevelType w:val="multilevel"/>
    <w:tmpl w:val="79A6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A50DE7"/>
    <w:multiLevelType w:val="multilevel"/>
    <w:tmpl w:val="F374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445303"/>
    <w:multiLevelType w:val="multilevel"/>
    <w:tmpl w:val="BD12D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19021B"/>
    <w:multiLevelType w:val="multilevel"/>
    <w:tmpl w:val="0D58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4739A9"/>
    <w:multiLevelType w:val="multilevel"/>
    <w:tmpl w:val="97A2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0063BC"/>
    <w:multiLevelType w:val="multilevel"/>
    <w:tmpl w:val="E3BEA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523C3B"/>
    <w:multiLevelType w:val="multilevel"/>
    <w:tmpl w:val="BF22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B75A06"/>
    <w:multiLevelType w:val="multilevel"/>
    <w:tmpl w:val="33AE1782"/>
    <w:lvl w:ilvl="0">
      <w:start w:val="1"/>
      <w:numFmt w:val="decimal"/>
      <w:lvlText w:val="%1."/>
      <w:lvlJc w:val="left"/>
      <w:pPr>
        <w:ind w:left="1067" w:hanging="360"/>
      </w:pPr>
      <w:rPr>
        <w:rFonts w:hint="default"/>
      </w:rPr>
    </w:lvl>
    <w:lvl w:ilvl="1">
      <w:start w:val="1"/>
      <w:numFmt w:val="decimal"/>
      <w:isLgl/>
      <w:lvlText w:val="%1.%2."/>
      <w:lvlJc w:val="left"/>
      <w:pPr>
        <w:ind w:left="1067" w:hanging="360"/>
      </w:pPr>
      <w:rPr>
        <w:rFonts w:hint="default"/>
      </w:rPr>
    </w:lvl>
    <w:lvl w:ilvl="2">
      <w:start w:val="1"/>
      <w:numFmt w:val="decimal"/>
      <w:isLgl/>
      <w:lvlText w:val="%1.%2.%3."/>
      <w:lvlJc w:val="left"/>
      <w:pPr>
        <w:ind w:left="1427" w:hanging="720"/>
      </w:pPr>
      <w:rPr>
        <w:rFonts w:hint="default"/>
      </w:rPr>
    </w:lvl>
    <w:lvl w:ilvl="3">
      <w:start w:val="1"/>
      <w:numFmt w:val="decimal"/>
      <w:isLgl/>
      <w:lvlText w:val="%1.%2.%3.%4."/>
      <w:lvlJc w:val="left"/>
      <w:pPr>
        <w:ind w:left="1427" w:hanging="720"/>
      </w:pPr>
      <w:rPr>
        <w:rFonts w:hint="default"/>
      </w:rPr>
    </w:lvl>
    <w:lvl w:ilvl="4">
      <w:start w:val="1"/>
      <w:numFmt w:val="decimal"/>
      <w:isLgl/>
      <w:lvlText w:val="%1.%2.%3.%4.%5."/>
      <w:lvlJc w:val="left"/>
      <w:pPr>
        <w:ind w:left="1787" w:hanging="1080"/>
      </w:pPr>
      <w:rPr>
        <w:rFonts w:hint="default"/>
      </w:rPr>
    </w:lvl>
    <w:lvl w:ilvl="5">
      <w:start w:val="1"/>
      <w:numFmt w:val="decimal"/>
      <w:isLgl/>
      <w:lvlText w:val="%1.%2.%3.%4.%5.%6."/>
      <w:lvlJc w:val="left"/>
      <w:pPr>
        <w:ind w:left="1787" w:hanging="1080"/>
      </w:pPr>
      <w:rPr>
        <w:rFonts w:hint="default"/>
      </w:rPr>
    </w:lvl>
    <w:lvl w:ilvl="6">
      <w:start w:val="1"/>
      <w:numFmt w:val="decimal"/>
      <w:isLgl/>
      <w:lvlText w:val="%1.%2.%3.%4.%5.%6.%7."/>
      <w:lvlJc w:val="left"/>
      <w:pPr>
        <w:ind w:left="2147" w:hanging="1440"/>
      </w:pPr>
      <w:rPr>
        <w:rFonts w:hint="default"/>
      </w:rPr>
    </w:lvl>
    <w:lvl w:ilvl="7">
      <w:start w:val="1"/>
      <w:numFmt w:val="decimal"/>
      <w:isLgl/>
      <w:lvlText w:val="%1.%2.%3.%4.%5.%6.%7.%8."/>
      <w:lvlJc w:val="left"/>
      <w:pPr>
        <w:ind w:left="2147" w:hanging="1440"/>
      </w:pPr>
      <w:rPr>
        <w:rFonts w:hint="default"/>
      </w:rPr>
    </w:lvl>
    <w:lvl w:ilvl="8">
      <w:start w:val="1"/>
      <w:numFmt w:val="decimal"/>
      <w:isLgl/>
      <w:lvlText w:val="%1.%2.%3.%4.%5.%6.%7.%8.%9."/>
      <w:lvlJc w:val="left"/>
      <w:pPr>
        <w:ind w:left="2507" w:hanging="1800"/>
      </w:pPr>
      <w:rPr>
        <w:rFonts w:hint="default"/>
      </w:rPr>
    </w:lvl>
  </w:abstractNum>
  <w:abstractNum w:abstractNumId="40" w15:restartNumberingAfterBreak="0">
    <w:nsid w:val="737F183B"/>
    <w:multiLevelType w:val="multilevel"/>
    <w:tmpl w:val="AF3E8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7F7FF8"/>
    <w:multiLevelType w:val="multilevel"/>
    <w:tmpl w:val="488A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A431EC"/>
    <w:multiLevelType w:val="multilevel"/>
    <w:tmpl w:val="B334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902BF1"/>
    <w:multiLevelType w:val="multilevel"/>
    <w:tmpl w:val="0B1ED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8D29DB"/>
    <w:multiLevelType w:val="multilevel"/>
    <w:tmpl w:val="D9C8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8989066">
    <w:abstractNumId w:val="28"/>
  </w:num>
  <w:num w:numId="2" w16cid:durableId="2008554297">
    <w:abstractNumId w:val="12"/>
  </w:num>
  <w:num w:numId="3" w16cid:durableId="1191410846">
    <w:abstractNumId w:val="9"/>
  </w:num>
  <w:num w:numId="4" w16cid:durableId="244144567">
    <w:abstractNumId w:val="32"/>
  </w:num>
  <w:num w:numId="5" w16cid:durableId="1626960394">
    <w:abstractNumId w:val="23"/>
  </w:num>
  <w:num w:numId="6" w16cid:durableId="2082286351">
    <w:abstractNumId w:val="39"/>
  </w:num>
  <w:num w:numId="7" w16cid:durableId="901985969">
    <w:abstractNumId w:val="0"/>
  </w:num>
  <w:num w:numId="8" w16cid:durableId="309096825">
    <w:abstractNumId w:val="25"/>
  </w:num>
  <w:num w:numId="9" w16cid:durableId="1286305744">
    <w:abstractNumId w:val="7"/>
  </w:num>
  <w:num w:numId="10" w16cid:durableId="1271815053">
    <w:abstractNumId w:val="22"/>
  </w:num>
  <w:num w:numId="11" w16cid:durableId="66270424">
    <w:abstractNumId w:val="1"/>
  </w:num>
  <w:num w:numId="12" w16cid:durableId="1726560572">
    <w:abstractNumId w:val="31"/>
  </w:num>
  <w:num w:numId="13" w16cid:durableId="231160682">
    <w:abstractNumId w:val="40"/>
  </w:num>
  <w:num w:numId="14" w16cid:durableId="1100180606">
    <w:abstractNumId w:val="43"/>
  </w:num>
  <w:num w:numId="15" w16cid:durableId="924074344">
    <w:abstractNumId w:val="20"/>
  </w:num>
  <w:num w:numId="16" w16cid:durableId="1806505234">
    <w:abstractNumId w:val="6"/>
  </w:num>
  <w:num w:numId="17" w16cid:durableId="1110971017">
    <w:abstractNumId w:val="5"/>
  </w:num>
  <w:num w:numId="18" w16cid:durableId="898708878">
    <w:abstractNumId w:val="44"/>
  </w:num>
  <w:num w:numId="19" w16cid:durableId="1000544821">
    <w:abstractNumId w:val="2"/>
  </w:num>
  <w:num w:numId="20" w16cid:durableId="1856923786">
    <w:abstractNumId w:val="41"/>
  </w:num>
  <w:num w:numId="21" w16cid:durableId="320621027">
    <w:abstractNumId w:val="42"/>
  </w:num>
  <w:num w:numId="22" w16cid:durableId="1687438002">
    <w:abstractNumId w:val="36"/>
  </w:num>
  <w:num w:numId="23" w16cid:durableId="396977969">
    <w:abstractNumId w:val="29"/>
  </w:num>
  <w:num w:numId="24" w16cid:durableId="1667174813">
    <w:abstractNumId w:val="24"/>
  </w:num>
  <w:num w:numId="25" w16cid:durableId="2064517360">
    <w:abstractNumId w:val="35"/>
  </w:num>
  <w:num w:numId="26" w16cid:durableId="1723866772">
    <w:abstractNumId w:val="18"/>
  </w:num>
  <w:num w:numId="27" w16cid:durableId="1931428064">
    <w:abstractNumId w:val="10"/>
  </w:num>
  <w:num w:numId="28" w16cid:durableId="1049375494">
    <w:abstractNumId w:val="8"/>
  </w:num>
  <w:num w:numId="29" w16cid:durableId="1771198011">
    <w:abstractNumId w:val="17"/>
  </w:num>
  <w:num w:numId="30" w16cid:durableId="793720615">
    <w:abstractNumId w:val="16"/>
  </w:num>
  <w:num w:numId="31" w16cid:durableId="494078128">
    <w:abstractNumId w:val="4"/>
  </w:num>
  <w:num w:numId="32" w16cid:durableId="1275594431">
    <w:abstractNumId w:val="19"/>
  </w:num>
  <w:num w:numId="33" w16cid:durableId="2014141673">
    <w:abstractNumId w:val="33"/>
  </w:num>
  <w:num w:numId="34" w16cid:durableId="1007295045">
    <w:abstractNumId w:val="34"/>
  </w:num>
  <w:num w:numId="35" w16cid:durableId="410197715">
    <w:abstractNumId w:val="3"/>
  </w:num>
  <w:num w:numId="36" w16cid:durableId="1367606407">
    <w:abstractNumId w:val="14"/>
  </w:num>
  <w:num w:numId="37" w16cid:durableId="1215241732">
    <w:abstractNumId w:val="21"/>
  </w:num>
  <w:num w:numId="38" w16cid:durableId="827289310">
    <w:abstractNumId w:val="13"/>
  </w:num>
  <w:num w:numId="39" w16cid:durableId="1992832442">
    <w:abstractNumId w:val="11"/>
  </w:num>
  <w:num w:numId="40" w16cid:durableId="928124512">
    <w:abstractNumId w:val="30"/>
  </w:num>
  <w:num w:numId="41" w16cid:durableId="1045562438">
    <w:abstractNumId w:val="27"/>
  </w:num>
  <w:num w:numId="42" w16cid:durableId="1179853209">
    <w:abstractNumId w:val="15"/>
  </w:num>
  <w:num w:numId="43" w16cid:durableId="2104573576">
    <w:abstractNumId w:val="38"/>
  </w:num>
  <w:num w:numId="44" w16cid:durableId="1007752484">
    <w:abstractNumId w:val="37"/>
  </w:num>
  <w:num w:numId="45" w16cid:durableId="164319852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72D"/>
    <w:rsid w:val="00001969"/>
    <w:rsid w:val="00001FAF"/>
    <w:rsid w:val="000040DD"/>
    <w:rsid w:val="000064E6"/>
    <w:rsid w:val="00013D41"/>
    <w:rsid w:val="00015CE2"/>
    <w:rsid w:val="000216BA"/>
    <w:rsid w:val="00025428"/>
    <w:rsid w:val="00025583"/>
    <w:rsid w:val="00031A60"/>
    <w:rsid w:val="00037FF8"/>
    <w:rsid w:val="00045FF4"/>
    <w:rsid w:val="00046ABD"/>
    <w:rsid w:val="00047B13"/>
    <w:rsid w:val="000508ED"/>
    <w:rsid w:val="00054688"/>
    <w:rsid w:val="000558D1"/>
    <w:rsid w:val="00071E91"/>
    <w:rsid w:val="00074247"/>
    <w:rsid w:val="0008413F"/>
    <w:rsid w:val="000865C2"/>
    <w:rsid w:val="00092868"/>
    <w:rsid w:val="000932D4"/>
    <w:rsid w:val="00093E15"/>
    <w:rsid w:val="00094361"/>
    <w:rsid w:val="000A1C0D"/>
    <w:rsid w:val="000A654A"/>
    <w:rsid w:val="000A7CF9"/>
    <w:rsid w:val="000B5DA9"/>
    <w:rsid w:val="000C0798"/>
    <w:rsid w:val="000C1049"/>
    <w:rsid w:val="000C5912"/>
    <w:rsid w:val="000D036D"/>
    <w:rsid w:val="000D2012"/>
    <w:rsid w:val="000D53C5"/>
    <w:rsid w:val="000E663F"/>
    <w:rsid w:val="000E7599"/>
    <w:rsid w:val="000F5E30"/>
    <w:rsid w:val="00101D64"/>
    <w:rsid w:val="00105DD1"/>
    <w:rsid w:val="0011054A"/>
    <w:rsid w:val="00114007"/>
    <w:rsid w:val="001159DA"/>
    <w:rsid w:val="00124414"/>
    <w:rsid w:val="00132036"/>
    <w:rsid w:val="00136FFA"/>
    <w:rsid w:val="001416A4"/>
    <w:rsid w:val="0014509B"/>
    <w:rsid w:val="00147EC7"/>
    <w:rsid w:val="0015666A"/>
    <w:rsid w:val="001605D4"/>
    <w:rsid w:val="00164FD7"/>
    <w:rsid w:val="001841DE"/>
    <w:rsid w:val="00184D9F"/>
    <w:rsid w:val="00185900"/>
    <w:rsid w:val="00192328"/>
    <w:rsid w:val="00193DA9"/>
    <w:rsid w:val="00195FB8"/>
    <w:rsid w:val="001A1D5A"/>
    <w:rsid w:val="001A40CB"/>
    <w:rsid w:val="001A4C09"/>
    <w:rsid w:val="001A7C28"/>
    <w:rsid w:val="001B6B30"/>
    <w:rsid w:val="001B7643"/>
    <w:rsid w:val="001C74A1"/>
    <w:rsid w:val="001E018E"/>
    <w:rsid w:val="001F0D3D"/>
    <w:rsid w:val="001F1CF3"/>
    <w:rsid w:val="001F4ED8"/>
    <w:rsid w:val="00206A01"/>
    <w:rsid w:val="0020759A"/>
    <w:rsid w:val="00211530"/>
    <w:rsid w:val="00212BF7"/>
    <w:rsid w:val="0021451A"/>
    <w:rsid w:val="00215534"/>
    <w:rsid w:val="00215C54"/>
    <w:rsid w:val="00220455"/>
    <w:rsid w:val="00233187"/>
    <w:rsid w:val="002347F5"/>
    <w:rsid w:val="00236C7A"/>
    <w:rsid w:val="00244053"/>
    <w:rsid w:val="002444DE"/>
    <w:rsid w:val="00250A96"/>
    <w:rsid w:val="00254769"/>
    <w:rsid w:val="002566D2"/>
    <w:rsid w:val="002613BF"/>
    <w:rsid w:val="002622C9"/>
    <w:rsid w:val="002858C2"/>
    <w:rsid w:val="00285C4C"/>
    <w:rsid w:val="00286AA7"/>
    <w:rsid w:val="00293703"/>
    <w:rsid w:val="002A4426"/>
    <w:rsid w:val="002A5510"/>
    <w:rsid w:val="002A701E"/>
    <w:rsid w:val="002B6EFB"/>
    <w:rsid w:val="002B7492"/>
    <w:rsid w:val="002C3B8D"/>
    <w:rsid w:val="002D7B3F"/>
    <w:rsid w:val="002E465A"/>
    <w:rsid w:val="002E7964"/>
    <w:rsid w:val="002F4900"/>
    <w:rsid w:val="003062DC"/>
    <w:rsid w:val="00310C15"/>
    <w:rsid w:val="00311AB8"/>
    <w:rsid w:val="00313B98"/>
    <w:rsid w:val="0034014E"/>
    <w:rsid w:val="00340312"/>
    <w:rsid w:val="0035024C"/>
    <w:rsid w:val="00354B06"/>
    <w:rsid w:val="0035508D"/>
    <w:rsid w:val="003560D6"/>
    <w:rsid w:val="00360379"/>
    <w:rsid w:val="003642D2"/>
    <w:rsid w:val="00366C63"/>
    <w:rsid w:val="00373468"/>
    <w:rsid w:val="00374D4A"/>
    <w:rsid w:val="00380775"/>
    <w:rsid w:val="00381457"/>
    <w:rsid w:val="00382147"/>
    <w:rsid w:val="0038456C"/>
    <w:rsid w:val="003929BD"/>
    <w:rsid w:val="00393A41"/>
    <w:rsid w:val="003A124F"/>
    <w:rsid w:val="003A1C68"/>
    <w:rsid w:val="003A1FDD"/>
    <w:rsid w:val="003B02E1"/>
    <w:rsid w:val="003B107E"/>
    <w:rsid w:val="003C40EE"/>
    <w:rsid w:val="003C4B06"/>
    <w:rsid w:val="003C5B07"/>
    <w:rsid w:val="003D13FC"/>
    <w:rsid w:val="003F079A"/>
    <w:rsid w:val="003F18B3"/>
    <w:rsid w:val="003F4A7D"/>
    <w:rsid w:val="00404D83"/>
    <w:rsid w:val="0041093A"/>
    <w:rsid w:val="00410B5C"/>
    <w:rsid w:val="00415EDA"/>
    <w:rsid w:val="004175F6"/>
    <w:rsid w:val="00426B6F"/>
    <w:rsid w:val="00427DF5"/>
    <w:rsid w:val="00435746"/>
    <w:rsid w:val="00442986"/>
    <w:rsid w:val="00446D7F"/>
    <w:rsid w:val="00450387"/>
    <w:rsid w:val="00450571"/>
    <w:rsid w:val="004514F7"/>
    <w:rsid w:val="00455F4A"/>
    <w:rsid w:val="00456CE1"/>
    <w:rsid w:val="00460B70"/>
    <w:rsid w:val="004707C3"/>
    <w:rsid w:val="00470EB6"/>
    <w:rsid w:val="0047113D"/>
    <w:rsid w:val="00472D3F"/>
    <w:rsid w:val="00485BDE"/>
    <w:rsid w:val="00487C4D"/>
    <w:rsid w:val="004A0363"/>
    <w:rsid w:val="004A149F"/>
    <w:rsid w:val="004B510B"/>
    <w:rsid w:val="004C4840"/>
    <w:rsid w:val="004C5676"/>
    <w:rsid w:val="004D1F29"/>
    <w:rsid w:val="004D6EDF"/>
    <w:rsid w:val="004D756B"/>
    <w:rsid w:val="004E3414"/>
    <w:rsid w:val="004F27A4"/>
    <w:rsid w:val="004F5186"/>
    <w:rsid w:val="004F6C91"/>
    <w:rsid w:val="005005CF"/>
    <w:rsid w:val="00504D99"/>
    <w:rsid w:val="00505700"/>
    <w:rsid w:val="0050572D"/>
    <w:rsid w:val="00513399"/>
    <w:rsid w:val="00524A33"/>
    <w:rsid w:val="00524AAF"/>
    <w:rsid w:val="00531EA5"/>
    <w:rsid w:val="00532018"/>
    <w:rsid w:val="00532D82"/>
    <w:rsid w:val="005429B0"/>
    <w:rsid w:val="00542D84"/>
    <w:rsid w:val="00547325"/>
    <w:rsid w:val="00550972"/>
    <w:rsid w:val="00554EDC"/>
    <w:rsid w:val="00556EF5"/>
    <w:rsid w:val="0056773E"/>
    <w:rsid w:val="00567CC1"/>
    <w:rsid w:val="00573418"/>
    <w:rsid w:val="005802F3"/>
    <w:rsid w:val="0059065A"/>
    <w:rsid w:val="0059134E"/>
    <w:rsid w:val="00591575"/>
    <w:rsid w:val="005925DE"/>
    <w:rsid w:val="00593144"/>
    <w:rsid w:val="00596183"/>
    <w:rsid w:val="005A0550"/>
    <w:rsid w:val="005A1823"/>
    <w:rsid w:val="005A1DE7"/>
    <w:rsid w:val="005A3175"/>
    <w:rsid w:val="005A7CFF"/>
    <w:rsid w:val="005B2ED0"/>
    <w:rsid w:val="005B4A6B"/>
    <w:rsid w:val="005C55A3"/>
    <w:rsid w:val="005D69D9"/>
    <w:rsid w:val="005D7B3A"/>
    <w:rsid w:val="005E2C54"/>
    <w:rsid w:val="005F09E6"/>
    <w:rsid w:val="005F2674"/>
    <w:rsid w:val="005F4862"/>
    <w:rsid w:val="005F56BD"/>
    <w:rsid w:val="005F600D"/>
    <w:rsid w:val="00603BED"/>
    <w:rsid w:val="006107A9"/>
    <w:rsid w:val="0061134F"/>
    <w:rsid w:val="0061141C"/>
    <w:rsid w:val="0061381B"/>
    <w:rsid w:val="00614904"/>
    <w:rsid w:val="0061585F"/>
    <w:rsid w:val="00620738"/>
    <w:rsid w:val="00620B6A"/>
    <w:rsid w:val="00621389"/>
    <w:rsid w:val="0062413C"/>
    <w:rsid w:val="00625CC9"/>
    <w:rsid w:val="00635852"/>
    <w:rsid w:val="00645FA2"/>
    <w:rsid w:val="00647856"/>
    <w:rsid w:val="006514A9"/>
    <w:rsid w:val="00651A6E"/>
    <w:rsid w:val="00653D10"/>
    <w:rsid w:val="006811A1"/>
    <w:rsid w:val="00686F0C"/>
    <w:rsid w:val="00694672"/>
    <w:rsid w:val="00694C4B"/>
    <w:rsid w:val="006A3423"/>
    <w:rsid w:val="006B3692"/>
    <w:rsid w:val="006B439D"/>
    <w:rsid w:val="006B76C8"/>
    <w:rsid w:val="006C0C1D"/>
    <w:rsid w:val="006C0DD3"/>
    <w:rsid w:val="006C33B0"/>
    <w:rsid w:val="006C5EDC"/>
    <w:rsid w:val="006C6404"/>
    <w:rsid w:val="006D0BAA"/>
    <w:rsid w:val="006D5441"/>
    <w:rsid w:val="006D7012"/>
    <w:rsid w:val="006D7A83"/>
    <w:rsid w:val="006E5064"/>
    <w:rsid w:val="006E684C"/>
    <w:rsid w:val="006F0D58"/>
    <w:rsid w:val="006F3FB4"/>
    <w:rsid w:val="00703A5C"/>
    <w:rsid w:val="007048B3"/>
    <w:rsid w:val="00704C65"/>
    <w:rsid w:val="0072119F"/>
    <w:rsid w:val="00735EF7"/>
    <w:rsid w:val="007413CE"/>
    <w:rsid w:val="007429D9"/>
    <w:rsid w:val="00744440"/>
    <w:rsid w:val="0074492F"/>
    <w:rsid w:val="007553C5"/>
    <w:rsid w:val="00762345"/>
    <w:rsid w:val="00770E68"/>
    <w:rsid w:val="00773DCB"/>
    <w:rsid w:val="00775CEF"/>
    <w:rsid w:val="007764AD"/>
    <w:rsid w:val="00776911"/>
    <w:rsid w:val="007866E0"/>
    <w:rsid w:val="007A2407"/>
    <w:rsid w:val="007B08E0"/>
    <w:rsid w:val="007B3790"/>
    <w:rsid w:val="007B542C"/>
    <w:rsid w:val="007C005D"/>
    <w:rsid w:val="007C1315"/>
    <w:rsid w:val="007C5450"/>
    <w:rsid w:val="007C79C2"/>
    <w:rsid w:val="007D1567"/>
    <w:rsid w:val="007D5301"/>
    <w:rsid w:val="007D57E6"/>
    <w:rsid w:val="007E1A1B"/>
    <w:rsid w:val="007E30B4"/>
    <w:rsid w:val="007F0103"/>
    <w:rsid w:val="007F2742"/>
    <w:rsid w:val="007F53E9"/>
    <w:rsid w:val="007F6691"/>
    <w:rsid w:val="007F6F02"/>
    <w:rsid w:val="008005AB"/>
    <w:rsid w:val="00801B5E"/>
    <w:rsid w:val="008142D1"/>
    <w:rsid w:val="008229B2"/>
    <w:rsid w:val="00827805"/>
    <w:rsid w:val="00830E7F"/>
    <w:rsid w:val="00830FA5"/>
    <w:rsid w:val="00837D72"/>
    <w:rsid w:val="00842727"/>
    <w:rsid w:val="008504F2"/>
    <w:rsid w:val="00852F2C"/>
    <w:rsid w:val="00855875"/>
    <w:rsid w:val="0086063D"/>
    <w:rsid w:val="00862EC0"/>
    <w:rsid w:val="00864690"/>
    <w:rsid w:val="0087321F"/>
    <w:rsid w:val="00873A05"/>
    <w:rsid w:val="0088037D"/>
    <w:rsid w:val="00882CD8"/>
    <w:rsid w:val="00886624"/>
    <w:rsid w:val="00887757"/>
    <w:rsid w:val="008903DF"/>
    <w:rsid w:val="0089694C"/>
    <w:rsid w:val="008A414A"/>
    <w:rsid w:val="008A7AC5"/>
    <w:rsid w:val="008B2415"/>
    <w:rsid w:val="008B5A40"/>
    <w:rsid w:val="008B78E8"/>
    <w:rsid w:val="008D1677"/>
    <w:rsid w:val="008D3AD4"/>
    <w:rsid w:val="008D4102"/>
    <w:rsid w:val="008E4019"/>
    <w:rsid w:val="008E5D9C"/>
    <w:rsid w:val="008E7E92"/>
    <w:rsid w:val="008F1777"/>
    <w:rsid w:val="008F3D15"/>
    <w:rsid w:val="00903CE9"/>
    <w:rsid w:val="009045FB"/>
    <w:rsid w:val="00914827"/>
    <w:rsid w:val="00914966"/>
    <w:rsid w:val="009159AC"/>
    <w:rsid w:val="00923B9B"/>
    <w:rsid w:val="00924B98"/>
    <w:rsid w:val="00931AB1"/>
    <w:rsid w:val="00931C9F"/>
    <w:rsid w:val="0093256A"/>
    <w:rsid w:val="0093434E"/>
    <w:rsid w:val="009368CF"/>
    <w:rsid w:val="00940484"/>
    <w:rsid w:val="00941405"/>
    <w:rsid w:val="009444B5"/>
    <w:rsid w:val="00945585"/>
    <w:rsid w:val="00950C03"/>
    <w:rsid w:val="009538A6"/>
    <w:rsid w:val="00953B19"/>
    <w:rsid w:val="00955852"/>
    <w:rsid w:val="00957C71"/>
    <w:rsid w:val="00961486"/>
    <w:rsid w:val="0097478D"/>
    <w:rsid w:val="0098308D"/>
    <w:rsid w:val="00985DA5"/>
    <w:rsid w:val="00996EFE"/>
    <w:rsid w:val="009A0621"/>
    <w:rsid w:val="009B5586"/>
    <w:rsid w:val="009C0B7F"/>
    <w:rsid w:val="009C2FA9"/>
    <w:rsid w:val="009C5525"/>
    <w:rsid w:val="009C5978"/>
    <w:rsid w:val="009D474C"/>
    <w:rsid w:val="009E2570"/>
    <w:rsid w:val="009E3B61"/>
    <w:rsid w:val="009E734F"/>
    <w:rsid w:val="009F025A"/>
    <w:rsid w:val="009F1477"/>
    <w:rsid w:val="009F246B"/>
    <w:rsid w:val="009F560B"/>
    <w:rsid w:val="00A15366"/>
    <w:rsid w:val="00A33396"/>
    <w:rsid w:val="00A33401"/>
    <w:rsid w:val="00A35E00"/>
    <w:rsid w:val="00A36150"/>
    <w:rsid w:val="00A36A55"/>
    <w:rsid w:val="00A43CEF"/>
    <w:rsid w:val="00A4668E"/>
    <w:rsid w:val="00A53225"/>
    <w:rsid w:val="00A544D3"/>
    <w:rsid w:val="00A566A2"/>
    <w:rsid w:val="00A61A7C"/>
    <w:rsid w:val="00A63025"/>
    <w:rsid w:val="00A63724"/>
    <w:rsid w:val="00A67017"/>
    <w:rsid w:val="00A71974"/>
    <w:rsid w:val="00A72E12"/>
    <w:rsid w:val="00A74081"/>
    <w:rsid w:val="00A7504F"/>
    <w:rsid w:val="00A83DFE"/>
    <w:rsid w:val="00A85B88"/>
    <w:rsid w:val="00A927B9"/>
    <w:rsid w:val="00A9432A"/>
    <w:rsid w:val="00A96144"/>
    <w:rsid w:val="00AA7545"/>
    <w:rsid w:val="00AB452B"/>
    <w:rsid w:val="00AB6D90"/>
    <w:rsid w:val="00AC09B4"/>
    <w:rsid w:val="00AC7DAF"/>
    <w:rsid w:val="00AE1A4C"/>
    <w:rsid w:val="00AE468A"/>
    <w:rsid w:val="00AE616F"/>
    <w:rsid w:val="00AF1647"/>
    <w:rsid w:val="00AF6492"/>
    <w:rsid w:val="00AF7F06"/>
    <w:rsid w:val="00B03CD4"/>
    <w:rsid w:val="00B057AB"/>
    <w:rsid w:val="00B16A5B"/>
    <w:rsid w:val="00B17FE0"/>
    <w:rsid w:val="00B25A11"/>
    <w:rsid w:val="00B30060"/>
    <w:rsid w:val="00B3506C"/>
    <w:rsid w:val="00B3569E"/>
    <w:rsid w:val="00B41CF7"/>
    <w:rsid w:val="00B427F0"/>
    <w:rsid w:val="00B471D3"/>
    <w:rsid w:val="00B47D45"/>
    <w:rsid w:val="00B50E99"/>
    <w:rsid w:val="00B51C40"/>
    <w:rsid w:val="00B5708E"/>
    <w:rsid w:val="00B575A7"/>
    <w:rsid w:val="00B576CC"/>
    <w:rsid w:val="00B60723"/>
    <w:rsid w:val="00B70E07"/>
    <w:rsid w:val="00B857A4"/>
    <w:rsid w:val="00B93647"/>
    <w:rsid w:val="00B96260"/>
    <w:rsid w:val="00BA0069"/>
    <w:rsid w:val="00BA0620"/>
    <w:rsid w:val="00BA32BF"/>
    <w:rsid w:val="00BA5AC0"/>
    <w:rsid w:val="00BA7101"/>
    <w:rsid w:val="00BB001A"/>
    <w:rsid w:val="00BB1A90"/>
    <w:rsid w:val="00BC156F"/>
    <w:rsid w:val="00BC680B"/>
    <w:rsid w:val="00BD65B1"/>
    <w:rsid w:val="00BE77B0"/>
    <w:rsid w:val="00BF1063"/>
    <w:rsid w:val="00BF7CC2"/>
    <w:rsid w:val="00BF7E8A"/>
    <w:rsid w:val="00C02430"/>
    <w:rsid w:val="00C1002F"/>
    <w:rsid w:val="00C11B67"/>
    <w:rsid w:val="00C209A3"/>
    <w:rsid w:val="00C21BF4"/>
    <w:rsid w:val="00C22F8D"/>
    <w:rsid w:val="00C23BC3"/>
    <w:rsid w:val="00C3102F"/>
    <w:rsid w:val="00C31125"/>
    <w:rsid w:val="00C40297"/>
    <w:rsid w:val="00C43595"/>
    <w:rsid w:val="00C443D7"/>
    <w:rsid w:val="00C447E6"/>
    <w:rsid w:val="00C45EB8"/>
    <w:rsid w:val="00C52A5E"/>
    <w:rsid w:val="00C53F35"/>
    <w:rsid w:val="00C555BE"/>
    <w:rsid w:val="00C66D43"/>
    <w:rsid w:val="00C677CE"/>
    <w:rsid w:val="00C7181F"/>
    <w:rsid w:val="00C83AEA"/>
    <w:rsid w:val="00C86B2D"/>
    <w:rsid w:val="00CB66AB"/>
    <w:rsid w:val="00CC3915"/>
    <w:rsid w:val="00CC6624"/>
    <w:rsid w:val="00CC6D4D"/>
    <w:rsid w:val="00CC73C1"/>
    <w:rsid w:val="00CD1CF9"/>
    <w:rsid w:val="00CD2868"/>
    <w:rsid w:val="00CE1190"/>
    <w:rsid w:val="00CE155D"/>
    <w:rsid w:val="00CE2B23"/>
    <w:rsid w:val="00CE5D9A"/>
    <w:rsid w:val="00CE6684"/>
    <w:rsid w:val="00CE6A8A"/>
    <w:rsid w:val="00D054FA"/>
    <w:rsid w:val="00D06951"/>
    <w:rsid w:val="00D12A9C"/>
    <w:rsid w:val="00D20B62"/>
    <w:rsid w:val="00D21991"/>
    <w:rsid w:val="00D34C02"/>
    <w:rsid w:val="00D35842"/>
    <w:rsid w:val="00D466DD"/>
    <w:rsid w:val="00D51A8B"/>
    <w:rsid w:val="00D67F85"/>
    <w:rsid w:val="00D722F7"/>
    <w:rsid w:val="00D726D3"/>
    <w:rsid w:val="00D74ABB"/>
    <w:rsid w:val="00D75FB4"/>
    <w:rsid w:val="00D81E73"/>
    <w:rsid w:val="00D83A12"/>
    <w:rsid w:val="00D905DB"/>
    <w:rsid w:val="00D909AD"/>
    <w:rsid w:val="00D91AE8"/>
    <w:rsid w:val="00D93160"/>
    <w:rsid w:val="00D95A5D"/>
    <w:rsid w:val="00DA0136"/>
    <w:rsid w:val="00DA060C"/>
    <w:rsid w:val="00DA40D7"/>
    <w:rsid w:val="00DB50BE"/>
    <w:rsid w:val="00DC596F"/>
    <w:rsid w:val="00DC7C91"/>
    <w:rsid w:val="00DD4349"/>
    <w:rsid w:val="00DE2E02"/>
    <w:rsid w:val="00DE5DF2"/>
    <w:rsid w:val="00DE6CEE"/>
    <w:rsid w:val="00DE6EAA"/>
    <w:rsid w:val="00DF0E84"/>
    <w:rsid w:val="00DF18C7"/>
    <w:rsid w:val="00E017EC"/>
    <w:rsid w:val="00E023F9"/>
    <w:rsid w:val="00E052AB"/>
    <w:rsid w:val="00E071E7"/>
    <w:rsid w:val="00E1093B"/>
    <w:rsid w:val="00E10D61"/>
    <w:rsid w:val="00E15B81"/>
    <w:rsid w:val="00E3520A"/>
    <w:rsid w:val="00E36D23"/>
    <w:rsid w:val="00E41AF0"/>
    <w:rsid w:val="00E44458"/>
    <w:rsid w:val="00E44FD9"/>
    <w:rsid w:val="00E4740C"/>
    <w:rsid w:val="00E55047"/>
    <w:rsid w:val="00E56D42"/>
    <w:rsid w:val="00E61902"/>
    <w:rsid w:val="00E61CC5"/>
    <w:rsid w:val="00E62734"/>
    <w:rsid w:val="00E65A53"/>
    <w:rsid w:val="00E66905"/>
    <w:rsid w:val="00E7011A"/>
    <w:rsid w:val="00E83DCF"/>
    <w:rsid w:val="00E8555C"/>
    <w:rsid w:val="00E875E7"/>
    <w:rsid w:val="00E87EC1"/>
    <w:rsid w:val="00E92EC6"/>
    <w:rsid w:val="00E9654C"/>
    <w:rsid w:val="00EA0EA9"/>
    <w:rsid w:val="00EA3DD5"/>
    <w:rsid w:val="00EB2F7D"/>
    <w:rsid w:val="00EB3368"/>
    <w:rsid w:val="00ED2494"/>
    <w:rsid w:val="00ED4EFC"/>
    <w:rsid w:val="00ED5D73"/>
    <w:rsid w:val="00ED785E"/>
    <w:rsid w:val="00EE0E3F"/>
    <w:rsid w:val="00EE1321"/>
    <w:rsid w:val="00EE4EF1"/>
    <w:rsid w:val="00EE587B"/>
    <w:rsid w:val="00F024D9"/>
    <w:rsid w:val="00F06C28"/>
    <w:rsid w:val="00F10B9E"/>
    <w:rsid w:val="00F15841"/>
    <w:rsid w:val="00F272E2"/>
    <w:rsid w:val="00F307AD"/>
    <w:rsid w:val="00F316F8"/>
    <w:rsid w:val="00F37D34"/>
    <w:rsid w:val="00F40116"/>
    <w:rsid w:val="00F40380"/>
    <w:rsid w:val="00F45B9C"/>
    <w:rsid w:val="00F47A90"/>
    <w:rsid w:val="00F52ECE"/>
    <w:rsid w:val="00F5525F"/>
    <w:rsid w:val="00F62048"/>
    <w:rsid w:val="00F62E9C"/>
    <w:rsid w:val="00F62EAA"/>
    <w:rsid w:val="00F666C2"/>
    <w:rsid w:val="00F70496"/>
    <w:rsid w:val="00F77B01"/>
    <w:rsid w:val="00F8480A"/>
    <w:rsid w:val="00F84D9B"/>
    <w:rsid w:val="00F91484"/>
    <w:rsid w:val="00F964A2"/>
    <w:rsid w:val="00F96DB4"/>
    <w:rsid w:val="00FB6E86"/>
    <w:rsid w:val="00FC4CF9"/>
    <w:rsid w:val="00FC5355"/>
    <w:rsid w:val="00FC5B33"/>
    <w:rsid w:val="00FD05CD"/>
    <w:rsid w:val="00FD7080"/>
    <w:rsid w:val="00FE0115"/>
    <w:rsid w:val="00FE1459"/>
    <w:rsid w:val="00FE23E6"/>
    <w:rsid w:val="00FE38E6"/>
    <w:rsid w:val="00FF335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01B7A"/>
  <w15:docId w15:val="{0755BE99-C9C7-419D-B9DA-0991D2424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ind w:left="140"/>
      <w:outlineLvl w:val="0"/>
    </w:pPr>
    <w:rPr>
      <w:b/>
      <w:bCs/>
      <w:sz w:val="28"/>
      <w:szCs w:val="28"/>
    </w:rPr>
  </w:style>
  <w:style w:type="paragraph" w:styleId="Ttulo2">
    <w:name w:val="heading 2"/>
    <w:basedOn w:val="Normal"/>
    <w:next w:val="Normal"/>
    <w:link w:val="Ttulo2Carter"/>
    <w:uiPriority w:val="9"/>
    <w:semiHidden/>
    <w:unhideWhenUsed/>
    <w:qFormat/>
    <w:rsid w:val="004175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ter"/>
    <w:uiPriority w:val="9"/>
    <w:semiHidden/>
    <w:unhideWhenUsed/>
    <w:qFormat/>
    <w:rsid w:val="00B3006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character" w:styleId="Hiperligao">
    <w:name w:val="Hyperlink"/>
    <w:basedOn w:val="Tipodeletrapredefinidodopargrafo"/>
    <w:uiPriority w:val="99"/>
    <w:unhideWhenUsed/>
    <w:rsid w:val="00593144"/>
    <w:rPr>
      <w:color w:val="0000FF" w:themeColor="hyperlink"/>
      <w:u w:val="single"/>
    </w:rPr>
  </w:style>
  <w:style w:type="character" w:customStyle="1" w:styleId="MenoNoResolvida1">
    <w:name w:val="Menção Não Resolvida1"/>
    <w:basedOn w:val="Tipodeletrapredefinidodopargrafo"/>
    <w:uiPriority w:val="99"/>
    <w:semiHidden/>
    <w:unhideWhenUsed/>
    <w:rsid w:val="00593144"/>
    <w:rPr>
      <w:color w:val="605E5C"/>
      <w:shd w:val="clear" w:color="auto" w:fill="E1DFDD"/>
    </w:rPr>
  </w:style>
  <w:style w:type="paragraph" w:styleId="Textodenotaderodap">
    <w:name w:val="footnote text"/>
    <w:basedOn w:val="Normal"/>
    <w:link w:val="TextodenotaderodapCarter"/>
    <w:uiPriority w:val="99"/>
    <w:semiHidden/>
    <w:unhideWhenUsed/>
    <w:rsid w:val="00094361"/>
    <w:rPr>
      <w:sz w:val="20"/>
      <w:szCs w:val="20"/>
    </w:rPr>
  </w:style>
  <w:style w:type="character" w:customStyle="1" w:styleId="TextodenotaderodapCarter">
    <w:name w:val="Texto de nota de rodapé Caráter"/>
    <w:basedOn w:val="Tipodeletrapredefinidodopargrafo"/>
    <w:link w:val="Textodenotaderodap"/>
    <w:uiPriority w:val="99"/>
    <w:semiHidden/>
    <w:rsid w:val="00094361"/>
    <w:rPr>
      <w:rFonts w:ascii="Calibri" w:eastAsia="Calibri" w:hAnsi="Calibri" w:cs="Calibri"/>
      <w:sz w:val="20"/>
      <w:szCs w:val="20"/>
      <w:lang w:val="pt-PT"/>
    </w:rPr>
  </w:style>
  <w:style w:type="character" w:styleId="Refdenotaderodap">
    <w:name w:val="footnote reference"/>
    <w:basedOn w:val="Tipodeletrapredefinidodopargrafo"/>
    <w:uiPriority w:val="99"/>
    <w:semiHidden/>
    <w:unhideWhenUsed/>
    <w:rsid w:val="00094361"/>
    <w:rPr>
      <w:vertAlign w:val="superscript"/>
    </w:rPr>
  </w:style>
  <w:style w:type="paragraph" w:styleId="Cabealho">
    <w:name w:val="header"/>
    <w:basedOn w:val="Normal"/>
    <w:link w:val="CabealhoCarter"/>
    <w:uiPriority w:val="99"/>
    <w:unhideWhenUsed/>
    <w:rsid w:val="00094361"/>
    <w:pPr>
      <w:tabs>
        <w:tab w:val="center" w:pos="4252"/>
        <w:tab w:val="right" w:pos="8504"/>
      </w:tabs>
    </w:pPr>
  </w:style>
  <w:style w:type="character" w:customStyle="1" w:styleId="CabealhoCarter">
    <w:name w:val="Cabeçalho Caráter"/>
    <w:basedOn w:val="Tipodeletrapredefinidodopargrafo"/>
    <w:link w:val="Cabealho"/>
    <w:uiPriority w:val="99"/>
    <w:rsid w:val="00094361"/>
    <w:rPr>
      <w:rFonts w:ascii="Calibri" w:eastAsia="Calibri" w:hAnsi="Calibri" w:cs="Calibri"/>
      <w:lang w:val="pt-PT"/>
    </w:rPr>
  </w:style>
  <w:style w:type="paragraph" w:styleId="Rodap">
    <w:name w:val="footer"/>
    <w:basedOn w:val="Normal"/>
    <w:link w:val="RodapCarter"/>
    <w:uiPriority w:val="99"/>
    <w:unhideWhenUsed/>
    <w:rsid w:val="00094361"/>
    <w:pPr>
      <w:tabs>
        <w:tab w:val="center" w:pos="4252"/>
        <w:tab w:val="right" w:pos="8504"/>
      </w:tabs>
    </w:pPr>
  </w:style>
  <w:style w:type="character" w:customStyle="1" w:styleId="RodapCarter">
    <w:name w:val="Rodapé Caráter"/>
    <w:basedOn w:val="Tipodeletrapredefinidodopargrafo"/>
    <w:link w:val="Rodap"/>
    <w:uiPriority w:val="99"/>
    <w:rsid w:val="00094361"/>
    <w:rPr>
      <w:rFonts w:ascii="Calibri" w:eastAsia="Calibri" w:hAnsi="Calibri" w:cs="Calibri"/>
      <w:lang w:val="pt-PT"/>
    </w:rPr>
  </w:style>
  <w:style w:type="character" w:customStyle="1" w:styleId="Ttulo2Carter">
    <w:name w:val="Título 2 Caráter"/>
    <w:basedOn w:val="Tipodeletrapredefinidodopargrafo"/>
    <w:link w:val="Ttulo2"/>
    <w:uiPriority w:val="9"/>
    <w:semiHidden/>
    <w:rsid w:val="004175F6"/>
    <w:rPr>
      <w:rFonts w:asciiTheme="majorHAnsi" w:eastAsiaTheme="majorEastAsia" w:hAnsiTheme="majorHAnsi" w:cstheme="majorBidi"/>
      <w:color w:val="365F91" w:themeColor="accent1" w:themeShade="BF"/>
      <w:sz w:val="26"/>
      <w:szCs w:val="26"/>
      <w:lang w:val="pt-PT"/>
    </w:rPr>
  </w:style>
  <w:style w:type="character" w:customStyle="1" w:styleId="Ttulo3Carter">
    <w:name w:val="Título 3 Caráter"/>
    <w:basedOn w:val="Tipodeletrapredefinidodopargrafo"/>
    <w:link w:val="Ttulo3"/>
    <w:uiPriority w:val="9"/>
    <w:semiHidden/>
    <w:rsid w:val="00B30060"/>
    <w:rPr>
      <w:rFonts w:asciiTheme="majorHAnsi" w:eastAsiaTheme="majorEastAsia" w:hAnsiTheme="majorHAnsi" w:cstheme="majorBidi"/>
      <w:color w:val="243F60" w:themeColor="accent1" w:themeShade="7F"/>
      <w:sz w:val="24"/>
      <w:szCs w:val="24"/>
      <w:lang w:val="pt-PT"/>
    </w:rPr>
  </w:style>
  <w:style w:type="paragraph" w:styleId="NormalWeb">
    <w:name w:val="Normal (Web)"/>
    <w:basedOn w:val="Normal"/>
    <w:uiPriority w:val="99"/>
    <w:semiHidden/>
    <w:unhideWhenUsed/>
    <w:rsid w:val="00B30060"/>
    <w:pPr>
      <w:widowControl/>
      <w:autoSpaceDE/>
      <w:autoSpaceDN/>
      <w:spacing w:before="100" w:beforeAutospacing="1" w:after="100" w:afterAutospacing="1"/>
    </w:pPr>
    <w:rPr>
      <w:rFonts w:ascii="Times New Roman" w:eastAsia="Times New Roman" w:hAnsi="Times New Roman" w:cs="Times New Roman"/>
      <w:sz w:val="24"/>
      <w:szCs w:val="24"/>
      <w:lang w:eastAsia="pt-PT"/>
    </w:rPr>
  </w:style>
  <w:style w:type="character" w:styleId="Forte">
    <w:name w:val="Strong"/>
    <w:basedOn w:val="Tipodeletrapredefinidodopargrafo"/>
    <w:uiPriority w:val="22"/>
    <w:qFormat/>
    <w:rsid w:val="00B30060"/>
    <w:rPr>
      <w:b/>
      <w:bCs/>
    </w:rPr>
  </w:style>
  <w:style w:type="character" w:styleId="nfase">
    <w:name w:val="Emphasis"/>
    <w:basedOn w:val="Tipodeletrapredefinidodopargrafo"/>
    <w:uiPriority w:val="20"/>
    <w:qFormat/>
    <w:rsid w:val="004F27A4"/>
    <w:rPr>
      <w:i/>
      <w:iCs/>
    </w:rPr>
  </w:style>
  <w:style w:type="character" w:styleId="Nmerodepgina">
    <w:name w:val="page number"/>
    <w:basedOn w:val="Tipodeletrapredefinidodopargrafo"/>
    <w:uiPriority w:val="99"/>
    <w:semiHidden/>
    <w:unhideWhenUsed/>
    <w:rsid w:val="00B47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6F75BE926DA1F4FB91AF81B70ECCDED" ma:contentTypeVersion="20" ma:contentTypeDescription="Criar um novo documento." ma:contentTypeScope="" ma:versionID="53e707328e04bc3eaf8ec510be3144b9">
  <xsd:schema xmlns:xsd="http://www.w3.org/2001/XMLSchema" xmlns:xs="http://www.w3.org/2001/XMLSchema" xmlns:p="http://schemas.microsoft.com/office/2006/metadata/properties" xmlns:ns2="56ccda74-b875-4fc0-adce-dbbf5dc183d6" xmlns:ns3="ee6b6dd8-f14a-4f04-95ce-e1b41ad861ca" targetNamespace="http://schemas.microsoft.com/office/2006/metadata/properties" ma:root="true" ma:fieldsID="1c73fd935dc66e110a8d3be46b00a613" ns2:_="" ns3:_="">
    <xsd:import namespace="56ccda74-b875-4fc0-adce-dbbf5dc183d6"/>
    <xsd:import namespace="ee6b6dd8-f14a-4f04-95ce-e1b41ad861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_Flow_SignoffStatus" minOccurs="0"/>
                <xsd:element ref="ns3:MediaServiceAutoKeyPoints" minOccurs="0"/>
                <xsd:element ref="ns3:MediaServiceKeyPoints" minOccurs="0"/>
                <xsd:element ref="ns2:SharedWithUsers" minOccurs="0"/>
                <xsd:element ref="ns2:SharedWithDetails" minOccurs="0"/>
                <xsd:element ref="ns3:MediaServiceLocation" minOccurs="0"/>
                <xsd:element ref="ns3:MediaServiceSearchProperties" minOccurs="0"/>
                <xsd:element ref="ns3:MediaServiceObjectDetectorVersions" minOccurs="0"/>
                <xsd:element ref="ns3:Datadeentrad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cda74-b875-4fc0-adce-dbbf5dc183d6" elementFormDefault="qualified">
    <xsd:import namespace="http://schemas.microsoft.com/office/2006/documentManagement/types"/>
    <xsd:import namespace="http://schemas.microsoft.com/office/infopath/2007/PartnerControls"/>
    <xsd:element name="_dlc_DocId" ma:index="8" nillable="true" ma:displayName="Valor do ID do Documento" ma:description="O valor do ID do documento atribuído a este item." ma:internalName="_dlc_DocId" ma:readOnly="true">
      <xsd:simpleType>
        <xsd:restriction base="dms:Text"/>
      </xsd:simpleType>
    </xsd:element>
    <xsd:element name="_dlc_DocIdUrl" ma:index="9" nillable="true" ma:displayName="ID do Documento" ma:description="Ligaçã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3aa35e13-5b63-4924-bb79-0212e77fbf44}" ma:internalName="TaxCatchAll" ma:showField="CatchAllData" ma:web="56ccda74-b875-4fc0-adce-dbbf5dc183d6">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Detalhes de Partilhado Com"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6b6dd8-f14a-4f04-95ce-e1b41ad861c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as de Imagem" ma:readOnly="false" ma:fieldId="{5cf76f15-5ced-4ddc-b409-7134ff3c332f}" ma:taxonomyMulti="true" ma:sspId="043d783c-16f0-463d-a4e2-1a312bcc4700" ma:termSetId="09814cd3-568e-fe90-9814-8d621ff8fb84" ma:anchorId="fba54fb3-c3e1-fe81-a776-ca4b69148c4d" ma:open="true" ma:isKeyword="false">
      <xsd:complexType>
        <xsd:sequence>
          <xsd:element ref="pc:Terms" minOccurs="0" maxOccurs="1"/>
        </xsd:sequence>
      </xsd:complexType>
    </xsd:element>
    <xsd:element name="_Flow_SignoffStatus" ma:index="22" nillable="true" ma:displayName="Estado da aprovação" ma:internalName="Estado_x0020_da_x0020_aprova_x00e7__x00e3_o">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Datadeentrada" ma:index="30" nillable="true" ma:displayName="Data de entrada" ma:default="[today]" ma:format="DateOnly" ma:internalName="Datadeentrad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atadeentrada xmlns="ee6b6dd8-f14a-4f04-95ce-e1b41ad861ca">2026-05-08T09:28:34+00:00</Datadeentrada>
    <lcf76f155ced4ddcb4097134ff3c332f xmlns="ee6b6dd8-f14a-4f04-95ce-e1b41ad861ca">
      <Terms xmlns="http://schemas.microsoft.com/office/infopath/2007/PartnerControls"/>
    </lcf76f155ced4ddcb4097134ff3c332f>
    <_Flow_SignoffStatus xmlns="ee6b6dd8-f14a-4f04-95ce-e1b41ad861ca" xsi:nil="true"/>
    <TaxCatchAll xmlns="56ccda74-b875-4fc0-adce-dbbf5dc183d6" xsi:nil="true"/>
    <_dlc_DocId xmlns="56ccda74-b875-4fc0-adce-dbbf5dc183d6">RTFZF6REQQEW-374345555-471017</_dlc_DocId>
    <_dlc_DocIdUrl xmlns="56ccda74-b875-4fc0-adce-dbbf5dc183d6">
      <Url>https://eduulusiada.sharepoint.com/sites/teca/gdg/_layouts/15/DocIdRedir.aspx?ID=RTFZF6REQQEW-374345555-471017</Url>
      <Description>RTFZF6REQQEW-374345555-471017</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AEF46-6594-4D93-8781-8765BE636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cda74-b875-4fc0-adce-dbbf5dc183d6"/>
    <ds:schemaRef ds:uri="ee6b6dd8-f14a-4f04-95ce-e1b41ad86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36126B-140F-4DD9-9F64-4B36D2140587}">
  <ds:schemaRefs>
    <ds:schemaRef ds:uri="http://schemas.microsoft.com/sharepoint/v3/contenttype/forms"/>
  </ds:schemaRefs>
</ds:datastoreItem>
</file>

<file path=customXml/itemProps3.xml><?xml version="1.0" encoding="utf-8"?>
<ds:datastoreItem xmlns:ds="http://schemas.openxmlformats.org/officeDocument/2006/customXml" ds:itemID="{C0A57C7D-037D-4E2C-B6AE-508D624F4FF7}">
  <ds:schemaRefs>
    <ds:schemaRef ds:uri="http://schemas.microsoft.com/sharepoint/events"/>
  </ds:schemaRefs>
</ds:datastoreItem>
</file>

<file path=customXml/itemProps4.xml><?xml version="1.0" encoding="utf-8"?>
<ds:datastoreItem xmlns:ds="http://schemas.openxmlformats.org/officeDocument/2006/customXml" ds:itemID="{513595B6-8883-4FEC-85C7-DD4817A017AA}">
  <ds:schemaRefs>
    <ds:schemaRef ds:uri="http://schemas.microsoft.com/office/2006/metadata/properties"/>
    <ds:schemaRef ds:uri="http://schemas.microsoft.com/office/infopath/2007/PartnerControls"/>
    <ds:schemaRef ds:uri="ee6b6dd8-f14a-4f04-95ce-e1b41ad861ca"/>
    <ds:schemaRef ds:uri="56ccda74-b875-4fc0-adce-dbbf5dc183d6"/>
  </ds:schemaRefs>
</ds:datastoreItem>
</file>

<file path=customXml/itemProps5.xml><?xml version="1.0" encoding="utf-8"?>
<ds:datastoreItem xmlns:ds="http://schemas.openxmlformats.org/officeDocument/2006/customXml" ds:itemID="{63C0D71A-4008-48B3-B795-068C680EF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6702</Words>
  <Characters>36192</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Rodrigues</dc:creator>
  <cp:lastModifiedBy>Maria da Anunciação Ferreira</cp:lastModifiedBy>
  <cp:revision>2</cp:revision>
  <cp:lastPrinted>2025-12-16T20:55:00Z</cp:lastPrinted>
  <dcterms:created xsi:type="dcterms:W3CDTF">2026-05-11T08:42:00Z</dcterms:created>
  <dcterms:modified xsi:type="dcterms:W3CDTF">2026-05-11T08:42:00Z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2024-10-07T00:00:00Z</vt:filetime>
  </property>
  <property fmtid="{D5CDD505-2E9C-101B-9397-08002B2CF9AE}" pid="3" name="Creator">
    <vt:lpwstr>Word</vt:lpwstr>
  </property>
  <property fmtid="{D5CDD505-2E9C-101B-9397-08002B2CF9AE}" pid="4" name="LastSaved">
    <vt:filetime>2025-12-01T00:00:00Z</vt:filetime>
  </property>
  <property fmtid="{D5CDD505-2E9C-101B-9397-08002B2CF9AE}" pid="5" name="Producer">
    <vt:lpwstr>3-Heights(TM) PDF Security Shell 4.8.25.2 (http://www.pdf-tools.com)</vt:lpwstr>
  </property>
  <property fmtid="{D5CDD505-2E9C-101B-9397-08002B2CF9AE}" pid="6" name="ContentTypeId">
    <vt:lpwstr>0x01010096F75BE926DA1F4FB91AF81B70ECCDED</vt:lpwstr>
  </property>
  <property fmtid="{D5CDD505-2E9C-101B-9397-08002B2CF9AE}" pid="7" name="_dlc_DocIdItemGuid">
    <vt:lpwstr>1271c748-781c-4c62-a2f5-d4f16da6a42b</vt:lpwstr>
  </property>
</Properties>
</file>